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5A95C74">
      <w:pPr>
        <w:widowControl/>
        <w:adjustRightInd w:val="0"/>
        <w:snapToGrid w:val="0"/>
        <w:spacing w:line="580" w:lineRule="exact"/>
        <w:jc w:val="left"/>
        <w:outlineLvl w:val="0"/>
        <w:rPr>
          <w:rFonts w:hint="eastAsia" w:ascii="仿宋" w:hAnsi="仿宋" w:eastAsia="仿宋" w:cs="仿宋"/>
          <w:sz w:val="28"/>
          <w:szCs w:val="32"/>
        </w:rPr>
      </w:pPr>
      <w:r>
        <w:rPr>
          <w:rFonts w:hint="eastAsia" w:ascii="仿宋" w:hAnsi="仿宋" w:eastAsia="仿宋" w:cs="仿宋"/>
          <w:sz w:val="28"/>
          <w:szCs w:val="32"/>
        </w:rPr>
        <w:t>附件1：采购需求</w:t>
      </w:r>
    </w:p>
    <w:p w14:paraId="1D4C8285">
      <w:pPr>
        <w:widowControl/>
        <w:tabs>
          <w:tab w:val="left" w:pos="3573"/>
        </w:tabs>
        <w:spacing w:line="360" w:lineRule="auto"/>
        <w:rPr>
          <w:rFonts w:hint="eastAsia" w:ascii="仿宋" w:hAnsi="仿宋" w:eastAsia="仿宋" w:cs="仿宋"/>
          <w:sz w:val="24"/>
          <w:szCs w:val="32"/>
        </w:rPr>
      </w:pPr>
      <w:r>
        <w:rPr>
          <w:rFonts w:hint="eastAsia" w:ascii="仿宋" w:hAnsi="仿宋" w:eastAsia="仿宋" w:cs="仿宋"/>
          <w:sz w:val="24"/>
          <w:szCs w:val="32"/>
        </w:rPr>
        <w:t>本章中标注“★”号的条款为本项目的实质性要求，供应商应全部满足，否则其</w:t>
      </w:r>
      <w:r>
        <w:rPr>
          <w:rFonts w:hint="eastAsia" w:ascii="仿宋" w:hAnsi="仿宋" w:eastAsia="仿宋" w:cs="仿宋"/>
          <w:sz w:val="24"/>
          <w:szCs w:val="32"/>
          <w:lang w:eastAsia="zh-CN"/>
        </w:rPr>
        <w:t>响应文件</w:t>
      </w:r>
      <w:r>
        <w:rPr>
          <w:rFonts w:hint="eastAsia" w:ascii="仿宋" w:hAnsi="仿宋" w:eastAsia="仿宋" w:cs="仿宋"/>
          <w:sz w:val="24"/>
          <w:szCs w:val="32"/>
        </w:rPr>
        <w:t>作无效处理。“▲”符号的条款为本项目的重要参数条款，未标识符号的条款为一般参数条款。</w:t>
      </w:r>
    </w:p>
    <w:p w14:paraId="1B37DA85">
      <w:pPr>
        <w:pStyle w:val="2"/>
        <w:spacing w:line="360" w:lineRule="auto"/>
        <w:ind w:firstLine="422"/>
        <w:outlineLvl w:val="1"/>
        <w:rPr>
          <w:rFonts w:hint="eastAsia" w:ascii="黑体" w:hAnsi="黑体" w:eastAsia="黑体" w:cs="仿宋"/>
          <w:bCs/>
          <w:color w:val="000000" w:themeColor="text1"/>
          <w:sz w:val="32"/>
          <w:szCs w:val="32"/>
          <w14:textFill>
            <w14:solidFill>
              <w14:schemeClr w14:val="tx1"/>
            </w14:solidFill>
          </w14:textFill>
        </w:rPr>
      </w:pPr>
      <w:r>
        <w:rPr>
          <w:rFonts w:hint="eastAsia" w:ascii="黑体" w:hAnsi="黑体" w:eastAsia="黑体" w:cs="仿宋"/>
          <w:bCs/>
          <w:sz w:val="32"/>
          <w:szCs w:val="32"/>
        </w:rPr>
        <w:t>一、</w:t>
      </w:r>
      <w:r>
        <w:rPr>
          <w:rFonts w:hint="eastAsia" w:ascii="黑体" w:hAnsi="黑体" w:eastAsia="黑体" w:cs="宋体"/>
          <w:bCs/>
          <w:color w:val="000000" w:themeColor="text1"/>
          <w:sz w:val="32"/>
          <w:szCs w:val="32"/>
          <w14:textFill>
            <w14:solidFill>
              <w14:schemeClr w14:val="tx1"/>
            </w14:solidFill>
          </w14:textFill>
        </w:rPr>
        <w:t>项目概况</w:t>
      </w:r>
    </w:p>
    <w:p w14:paraId="48C6EE9E">
      <w:pPr>
        <w:pStyle w:val="19"/>
        <w:tabs>
          <w:tab w:val="left" w:pos="737"/>
        </w:tabs>
        <w:adjustRightInd w:val="0"/>
        <w:snapToGrid w:val="0"/>
        <w:spacing w:line="520" w:lineRule="exact"/>
        <w:ind w:firstLine="640"/>
        <w:contextualSpacing/>
        <w:jc w:val="left"/>
        <w:outlineLvl w:val="2"/>
        <w:rPr>
          <w:rFonts w:hint="eastAsia" w:ascii="仿宋" w:hAnsi="仿宋" w:eastAsia="仿宋" w:cs="仿宋"/>
          <w:bCs/>
          <w:color w:val="000000"/>
          <w:sz w:val="32"/>
          <w:szCs w:val="32"/>
          <w:lang w:eastAsia="zh-CN"/>
        </w:rPr>
      </w:pPr>
      <w:r>
        <w:rPr>
          <w:rFonts w:hint="eastAsia" w:ascii="仿宋" w:hAnsi="仿宋" w:eastAsia="仿宋" w:cs="仿宋"/>
          <w:bCs/>
          <w:color w:val="000000"/>
          <w:sz w:val="32"/>
          <w:szCs w:val="32"/>
        </w:rPr>
        <w:t>1.项目名称：</w:t>
      </w:r>
      <w:r>
        <w:rPr>
          <w:rFonts w:hint="eastAsia" w:ascii="仿宋" w:hAnsi="仿宋" w:eastAsia="仿宋" w:cs="仿宋"/>
          <w:bCs/>
          <w:color w:val="000000"/>
          <w:sz w:val="32"/>
          <w:szCs w:val="32"/>
          <w:lang w:eastAsia="zh-CN"/>
        </w:rPr>
        <w:t>2026年安防设备、器材维修配件采购项目</w:t>
      </w:r>
    </w:p>
    <w:p w14:paraId="12BCF61F">
      <w:pPr>
        <w:pStyle w:val="19"/>
        <w:tabs>
          <w:tab w:val="left" w:pos="737"/>
        </w:tabs>
        <w:adjustRightInd w:val="0"/>
        <w:snapToGrid w:val="0"/>
        <w:spacing w:line="520" w:lineRule="exact"/>
        <w:ind w:firstLine="640"/>
        <w:contextualSpacing/>
        <w:jc w:val="left"/>
        <w:outlineLvl w:val="2"/>
        <w:rPr>
          <w:rFonts w:hint="eastAsia" w:ascii="仿宋" w:hAnsi="仿宋" w:eastAsia="仿宋" w:cs="仿宋"/>
          <w:bCs/>
          <w:color w:val="000000"/>
          <w:sz w:val="32"/>
          <w:szCs w:val="32"/>
          <w:highlight w:val="yellow"/>
        </w:rPr>
      </w:pPr>
      <w:r>
        <w:rPr>
          <w:rFonts w:hint="eastAsia" w:ascii="仿宋" w:hAnsi="仿宋" w:eastAsia="仿宋" w:cs="仿宋"/>
          <w:bCs/>
          <w:color w:val="000000"/>
          <w:sz w:val="32"/>
          <w:szCs w:val="32"/>
        </w:rPr>
        <w:t>2.项目编号：</w:t>
      </w:r>
      <w:r>
        <w:rPr>
          <w:rFonts w:hint="eastAsia" w:ascii="仿宋" w:hAnsi="仿宋" w:eastAsia="仿宋" w:cs="仿宋"/>
          <w:color w:val="000000" w:themeColor="text1"/>
          <w:sz w:val="32"/>
          <w:szCs w:val="32"/>
          <w:highlight w:val="yellow"/>
          <w14:textFill>
            <w14:solidFill>
              <w14:schemeClr w14:val="tx1"/>
            </w14:solidFill>
          </w14:textFill>
        </w:rPr>
        <w:t>202</w:t>
      </w:r>
      <w:r>
        <w:rPr>
          <w:rFonts w:hint="eastAsia" w:ascii="仿宋" w:hAnsi="仿宋" w:eastAsia="仿宋" w:cs="仿宋"/>
          <w:color w:val="000000" w:themeColor="text1"/>
          <w:sz w:val="32"/>
          <w:szCs w:val="32"/>
          <w:highlight w:val="yellow"/>
          <w:lang w:val="en-US" w:eastAsia="zh-CN"/>
          <w14:textFill>
            <w14:solidFill>
              <w14:schemeClr w14:val="tx1"/>
            </w14:solidFill>
          </w14:textFill>
        </w:rPr>
        <w:t>6</w:t>
      </w:r>
      <w:r>
        <w:rPr>
          <w:rFonts w:hint="eastAsia" w:ascii="仿宋" w:hAnsi="仿宋" w:eastAsia="仿宋" w:cs="仿宋"/>
          <w:color w:val="000000" w:themeColor="text1"/>
          <w:sz w:val="32"/>
          <w:szCs w:val="32"/>
          <w:highlight w:val="yellow"/>
          <w14:textFill>
            <w14:solidFill>
              <w14:schemeClr w14:val="tx1"/>
            </w14:solidFill>
          </w14:textFill>
        </w:rPr>
        <w:t>-</w:t>
      </w:r>
      <w:r>
        <w:rPr>
          <w:rFonts w:hint="eastAsia" w:ascii="仿宋" w:hAnsi="仿宋" w:eastAsia="仿宋" w:cs="仿宋"/>
          <w:color w:val="000000" w:themeColor="text1"/>
          <w:sz w:val="32"/>
          <w:szCs w:val="32"/>
          <w:highlight w:val="yellow"/>
          <w:lang w:val="en-US" w:eastAsia="zh-CN"/>
          <w14:textFill>
            <w14:solidFill>
              <w14:schemeClr w14:val="tx1"/>
            </w14:solidFill>
          </w14:textFill>
        </w:rPr>
        <w:t>HQBZB</w:t>
      </w:r>
      <w:r>
        <w:rPr>
          <w:rFonts w:hint="eastAsia" w:ascii="仿宋" w:hAnsi="仿宋" w:eastAsia="仿宋" w:cs="仿宋"/>
          <w:color w:val="000000" w:themeColor="text1"/>
          <w:sz w:val="32"/>
          <w:szCs w:val="32"/>
          <w:highlight w:val="yellow"/>
          <w14:textFill>
            <w14:solidFill>
              <w14:schemeClr w14:val="tx1"/>
            </w14:solidFill>
          </w14:textFill>
        </w:rPr>
        <w:t>-DS-00</w:t>
      </w:r>
      <w:r>
        <w:rPr>
          <w:rFonts w:hint="eastAsia" w:ascii="仿宋" w:hAnsi="仿宋" w:eastAsia="仿宋" w:cs="仿宋"/>
          <w:color w:val="000000" w:themeColor="text1"/>
          <w:sz w:val="32"/>
          <w:szCs w:val="32"/>
          <w:highlight w:val="yellow"/>
          <w:lang w:val="en-US" w:eastAsia="zh-CN"/>
          <w14:textFill>
            <w14:solidFill>
              <w14:schemeClr w14:val="tx1"/>
            </w14:solidFill>
          </w14:textFill>
        </w:rPr>
        <w:t>2</w:t>
      </w:r>
      <w:r>
        <w:rPr>
          <w:rFonts w:hint="eastAsia" w:ascii="仿宋" w:hAnsi="仿宋" w:eastAsia="仿宋" w:cs="仿宋"/>
          <w:color w:val="000000" w:themeColor="text1"/>
          <w:sz w:val="32"/>
          <w:szCs w:val="32"/>
          <w:highlight w:val="yellow"/>
          <w14:textFill>
            <w14:solidFill>
              <w14:schemeClr w14:val="tx1"/>
            </w14:solidFill>
          </w14:textFill>
        </w:rPr>
        <w:t>(磋）</w:t>
      </w:r>
    </w:p>
    <w:p w14:paraId="763ACB1D">
      <w:pPr>
        <w:pStyle w:val="19"/>
        <w:tabs>
          <w:tab w:val="left" w:pos="737"/>
        </w:tabs>
        <w:adjustRightInd w:val="0"/>
        <w:snapToGrid w:val="0"/>
        <w:spacing w:line="520" w:lineRule="exact"/>
        <w:ind w:firstLine="640"/>
        <w:contextualSpacing/>
        <w:jc w:val="left"/>
        <w:outlineLvl w:val="2"/>
        <w:rPr>
          <w:rFonts w:hint="default" w:ascii="仿宋" w:hAnsi="仿宋" w:eastAsia="仿宋" w:cs="仿宋"/>
          <w:bCs/>
          <w:color w:val="000000"/>
          <w:sz w:val="32"/>
          <w:szCs w:val="32"/>
          <w:lang w:val="en-US" w:eastAsia="zh-CN"/>
        </w:rPr>
      </w:pPr>
      <w:r>
        <w:rPr>
          <w:rFonts w:hint="eastAsia" w:ascii="仿宋" w:hAnsi="仿宋" w:eastAsia="仿宋" w:cs="仿宋"/>
          <w:bCs/>
          <w:color w:val="000000"/>
          <w:sz w:val="32"/>
          <w:szCs w:val="32"/>
        </w:rPr>
        <w:t>3.项目最高限价总金额：</w:t>
      </w:r>
      <w:r>
        <w:rPr>
          <w:rFonts w:hint="eastAsia" w:ascii="仿宋" w:hAnsi="仿宋" w:eastAsia="仿宋" w:cs="仿宋"/>
          <w:bCs/>
          <w:color w:val="000000"/>
          <w:sz w:val="32"/>
          <w:szCs w:val="32"/>
          <w:u w:val="none"/>
          <w:lang w:val="en-US" w:eastAsia="zh-CN"/>
        </w:rPr>
        <w:t>31.50</w:t>
      </w:r>
      <w:r>
        <w:rPr>
          <w:rFonts w:hint="eastAsia" w:ascii="仿宋" w:hAnsi="仿宋" w:eastAsia="仿宋" w:cs="仿宋"/>
          <w:bCs/>
          <w:color w:val="000000"/>
          <w:sz w:val="32"/>
          <w:szCs w:val="32"/>
          <w:u w:val="none"/>
        </w:rPr>
        <w:t>万</w:t>
      </w:r>
      <w:r>
        <w:rPr>
          <w:rFonts w:hint="eastAsia" w:ascii="仿宋" w:hAnsi="仿宋" w:eastAsia="仿宋" w:cs="仿宋"/>
          <w:bCs/>
          <w:color w:val="000000"/>
          <w:sz w:val="32"/>
          <w:szCs w:val="32"/>
          <w:u w:val="none"/>
          <w:lang w:val="en-US" w:eastAsia="zh-CN"/>
        </w:rPr>
        <w:t>元</w:t>
      </w:r>
    </w:p>
    <w:tbl>
      <w:tblPr>
        <w:tblStyle w:val="1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9"/>
        <w:gridCol w:w="2289"/>
        <w:gridCol w:w="1894"/>
        <w:gridCol w:w="873"/>
        <w:gridCol w:w="728"/>
        <w:gridCol w:w="1231"/>
        <w:gridCol w:w="748"/>
      </w:tblGrid>
      <w:tr w14:paraId="35AB12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7" w:hRule="atLeast"/>
          <w:jc w:val="center"/>
        </w:trPr>
        <w:tc>
          <w:tcPr>
            <w:tcW w:w="5000" w:type="pct"/>
            <w:gridSpan w:val="7"/>
            <w:vAlign w:val="center"/>
          </w:tcPr>
          <w:p w14:paraId="488F1F28">
            <w:pPr>
              <w:widowControl/>
              <w:spacing w:line="520" w:lineRule="atLeast"/>
              <w:jc w:val="center"/>
              <w:rPr>
                <w:rFonts w:hint="eastAsia" w:ascii="仿宋" w:hAnsi="仿宋" w:eastAsia="仿宋" w:cs="仿宋"/>
                <w:color w:val="000000"/>
                <w:sz w:val="24"/>
              </w:rPr>
            </w:pPr>
            <w:r>
              <w:rPr>
                <w:rFonts w:hint="eastAsia" w:ascii="仿宋" w:hAnsi="仿宋" w:eastAsia="仿宋" w:cs="仿宋"/>
                <w:b/>
                <w:bCs/>
                <w:color w:val="000000"/>
                <w:sz w:val="24"/>
              </w:rPr>
              <w:t>采购标的汇总表</w:t>
            </w:r>
          </w:p>
        </w:tc>
      </w:tr>
      <w:tr w14:paraId="511445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6" w:type="pct"/>
            <w:vAlign w:val="center"/>
          </w:tcPr>
          <w:p w14:paraId="7EF86C2F">
            <w:pPr>
              <w:widowControl/>
              <w:spacing w:line="520" w:lineRule="atLeast"/>
              <w:jc w:val="center"/>
              <w:rPr>
                <w:rFonts w:hint="eastAsia" w:ascii="仿宋" w:hAnsi="仿宋" w:eastAsia="仿宋" w:cs="仿宋"/>
                <w:b/>
                <w:bCs/>
                <w:color w:val="000000"/>
                <w:sz w:val="24"/>
              </w:rPr>
            </w:pPr>
            <w:r>
              <w:rPr>
                <w:rFonts w:hint="eastAsia" w:ascii="仿宋" w:hAnsi="仿宋" w:eastAsia="仿宋" w:cs="仿宋"/>
                <w:b/>
                <w:bCs/>
                <w:color w:val="000000"/>
                <w:sz w:val="24"/>
              </w:rPr>
              <w:t>序号</w:t>
            </w:r>
          </w:p>
        </w:tc>
        <w:tc>
          <w:tcPr>
            <w:tcW w:w="1343" w:type="pct"/>
            <w:vAlign w:val="center"/>
          </w:tcPr>
          <w:p w14:paraId="1B5B3226">
            <w:pPr>
              <w:widowControl/>
              <w:spacing w:line="520" w:lineRule="atLeast"/>
              <w:jc w:val="center"/>
              <w:rPr>
                <w:rFonts w:hint="eastAsia" w:ascii="仿宋" w:hAnsi="仿宋" w:eastAsia="仿宋" w:cs="仿宋"/>
                <w:b/>
                <w:bCs/>
                <w:color w:val="000000"/>
                <w:sz w:val="24"/>
              </w:rPr>
            </w:pPr>
            <w:r>
              <w:rPr>
                <w:rFonts w:hint="eastAsia" w:ascii="仿宋" w:hAnsi="仿宋" w:eastAsia="仿宋" w:cs="仿宋"/>
                <w:b/>
                <w:bCs/>
                <w:color w:val="000000"/>
                <w:sz w:val="24"/>
              </w:rPr>
              <w:t>标的名称</w:t>
            </w:r>
          </w:p>
        </w:tc>
        <w:tc>
          <w:tcPr>
            <w:tcW w:w="1111" w:type="pct"/>
            <w:vAlign w:val="center"/>
          </w:tcPr>
          <w:p w14:paraId="149FA503">
            <w:pPr>
              <w:widowControl/>
              <w:spacing w:line="520" w:lineRule="atLeast"/>
              <w:jc w:val="center"/>
              <w:rPr>
                <w:rFonts w:hint="eastAsia" w:ascii="仿宋" w:hAnsi="仿宋" w:eastAsia="仿宋" w:cs="仿宋"/>
                <w:b/>
                <w:bCs/>
                <w:color w:val="000000"/>
                <w:sz w:val="24"/>
              </w:rPr>
            </w:pPr>
            <w:r>
              <w:rPr>
                <w:rFonts w:hint="eastAsia" w:ascii="仿宋" w:hAnsi="仿宋" w:eastAsia="仿宋" w:cs="仿宋"/>
                <w:b/>
                <w:bCs/>
                <w:color w:val="000000"/>
                <w:sz w:val="24"/>
              </w:rPr>
              <w:t>品目分类编码</w:t>
            </w:r>
          </w:p>
        </w:tc>
        <w:tc>
          <w:tcPr>
            <w:tcW w:w="512" w:type="pct"/>
            <w:vAlign w:val="center"/>
          </w:tcPr>
          <w:p w14:paraId="4B8A2953">
            <w:pPr>
              <w:widowControl/>
              <w:spacing w:line="520" w:lineRule="atLeast"/>
              <w:jc w:val="center"/>
              <w:rPr>
                <w:rFonts w:hint="eastAsia" w:ascii="仿宋" w:hAnsi="仿宋" w:eastAsia="仿宋" w:cs="仿宋"/>
                <w:b/>
                <w:bCs/>
                <w:color w:val="000000"/>
                <w:sz w:val="24"/>
              </w:rPr>
            </w:pPr>
            <w:r>
              <w:rPr>
                <w:rFonts w:hint="eastAsia" w:ascii="仿宋" w:hAnsi="仿宋" w:eastAsia="仿宋" w:cs="仿宋"/>
                <w:b/>
                <w:bCs/>
                <w:color w:val="000000"/>
                <w:sz w:val="24"/>
              </w:rPr>
              <w:t>计量单位</w:t>
            </w:r>
          </w:p>
        </w:tc>
        <w:tc>
          <w:tcPr>
            <w:tcW w:w="427" w:type="pct"/>
            <w:vAlign w:val="center"/>
          </w:tcPr>
          <w:p w14:paraId="0E6028B3">
            <w:pPr>
              <w:widowControl/>
              <w:spacing w:line="520" w:lineRule="atLeast"/>
              <w:jc w:val="center"/>
              <w:rPr>
                <w:rFonts w:hint="eastAsia" w:ascii="仿宋" w:hAnsi="仿宋" w:eastAsia="仿宋" w:cs="仿宋"/>
                <w:b/>
                <w:bCs/>
                <w:color w:val="000000"/>
                <w:sz w:val="24"/>
              </w:rPr>
            </w:pPr>
            <w:r>
              <w:rPr>
                <w:rFonts w:hint="eastAsia" w:ascii="仿宋" w:hAnsi="仿宋" w:eastAsia="仿宋" w:cs="仿宋"/>
                <w:b/>
                <w:bCs/>
                <w:color w:val="000000"/>
                <w:sz w:val="24"/>
              </w:rPr>
              <w:t>数量</w:t>
            </w:r>
          </w:p>
        </w:tc>
        <w:tc>
          <w:tcPr>
            <w:tcW w:w="722" w:type="pct"/>
            <w:vAlign w:val="center"/>
          </w:tcPr>
          <w:p w14:paraId="1A0622D0">
            <w:pPr>
              <w:widowControl/>
              <w:spacing w:line="520" w:lineRule="atLeast"/>
              <w:jc w:val="center"/>
              <w:rPr>
                <w:rFonts w:hint="eastAsia" w:ascii="仿宋" w:hAnsi="仿宋" w:eastAsia="仿宋" w:cs="仿宋"/>
                <w:b/>
                <w:bCs/>
                <w:color w:val="000000"/>
                <w:sz w:val="24"/>
              </w:rPr>
            </w:pPr>
            <w:r>
              <w:rPr>
                <w:rFonts w:hint="eastAsia" w:ascii="仿宋" w:hAnsi="仿宋" w:eastAsia="仿宋" w:cs="仿宋"/>
                <w:b/>
                <w:bCs/>
                <w:color w:val="000000"/>
                <w:sz w:val="24"/>
              </w:rPr>
              <w:t>最高限价（万元）</w:t>
            </w:r>
          </w:p>
        </w:tc>
        <w:tc>
          <w:tcPr>
            <w:tcW w:w="437" w:type="pct"/>
            <w:vAlign w:val="center"/>
          </w:tcPr>
          <w:p w14:paraId="7872397C">
            <w:pPr>
              <w:widowControl/>
              <w:spacing w:line="520" w:lineRule="atLeast"/>
              <w:jc w:val="center"/>
              <w:rPr>
                <w:rFonts w:hint="eastAsia" w:ascii="仿宋" w:hAnsi="仿宋" w:eastAsia="仿宋" w:cs="仿宋"/>
                <w:b/>
                <w:bCs/>
                <w:color w:val="000000"/>
                <w:sz w:val="24"/>
              </w:rPr>
            </w:pPr>
            <w:r>
              <w:rPr>
                <w:rFonts w:hint="eastAsia" w:ascii="仿宋" w:hAnsi="仿宋" w:eastAsia="仿宋" w:cs="仿宋"/>
                <w:b/>
                <w:bCs/>
                <w:color w:val="000000"/>
                <w:sz w:val="24"/>
              </w:rPr>
              <w:t>是否进口</w:t>
            </w:r>
          </w:p>
        </w:tc>
      </w:tr>
      <w:tr w14:paraId="2277C0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6" w:type="pct"/>
            <w:vAlign w:val="center"/>
          </w:tcPr>
          <w:p w14:paraId="11BC3313">
            <w:pPr>
              <w:spacing w:line="520" w:lineRule="atLeast"/>
              <w:jc w:val="center"/>
              <w:rPr>
                <w:rFonts w:hint="eastAsia" w:ascii="仿宋" w:hAnsi="仿宋" w:eastAsia="仿宋" w:cs="仿宋"/>
                <w:color w:val="000000"/>
                <w:sz w:val="24"/>
              </w:rPr>
            </w:pPr>
            <w:r>
              <w:rPr>
                <w:rFonts w:hint="eastAsia" w:ascii="仿宋" w:hAnsi="仿宋" w:eastAsia="仿宋" w:cs="仿宋"/>
                <w:sz w:val="24"/>
              </w:rPr>
              <w:t>1</w:t>
            </w:r>
          </w:p>
        </w:tc>
        <w:tc>
          <w:tcPr>
            <w:tcW w:w="2289" w:type="dxa"/>
            <w:vAlign w:val="center"/>
          </w:tcPr>
          <w:p w14:paraId="7C000A02">
            <w:pPr>
              <w:spacing w:line="520" w:lineRule="atLeast"/>
              <w:jc w:val="center"/>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lang w:val="en-US" w:eastAsia="zh-CN"/>
                <w14:textFill>
                  <w14:solidFill>
                    <w14:schemeClr w14:val="tx1"/>
                  </w14:solidFill>
                </w14:textFill>
              </w:rPr>
              <w:t>安防设备、器材维修配件项目</w:t>
            </w:r>
          </w:p>
        </w:tc>
        <w:tc>
          <w:tcPr>
            <w:tcW w:w="1894" w:type="dxa"/>
            <w:vAlign w:val="center"/>
          </w:tcPr>
          <w:p w14:paraId="288CF214">
            <w:pPr>
              <w:widowControl/>
              <w:spacing w:line="520" w:lineRule="atLeast"/>
              <w:jc w:val="center"/>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C23121000安防设备维修和保养服务</w:t>
            </w:r>
          </w:p>
        </w:tc>
        <w:tc>
          <w:tcPr>
            <w:tcW w:w="873" w:type="dxa"/>
            <w:vAlign w:val="center"/>
          </w:tcPr>
          <w:p w14:paraId="422FACC7">
            <w:pPr>
              <w:widowControl/>
              <w:spacing w:line="520" w:lineRule="atLeast"/>
              <w:jc w:val="center"/>
              <w:rPr>
                <w:rFonts w:hint="eastAsia" w:ascii="仿宋" w:hAnsi="仿宋" w:eastAsia="仿宋" w:cs="仿宋"/>
                <w:color w:val="000000" w:themeColor="text1"/>
                <w:sz w:val="24"/>
                <w:lang w:eastAsia="zh-CN"/>
                <w14:textFill>
                  <w14:solidFill>
                    <w14:schemeClr w14:val="tx1"/>
                  </w14:solidFill>
                </w14:textFill>
              </w:rPr>
            </w:pPr>
            <w:r>
              <w:rPr>
                <w:rFonts w:hint="eastAsia" w:ascii="仿宋" w:hAnsi="仿宋" w:eastAsia="仿宋" w:cs="仿宋"/>
                <w:color w:val="000000" w:themeColor="text1"/>
                <w:sz w:val="24"/>
                <w:lang w:val="en-US" w:eastAsia="zh-CN"/>
                <w14:textFill>
                  <w14:solidFill>
                    <w14:schemeClr w14:val="tx1"/>
                  </w14:solidFill>
                </w14:textFill>
              </w:rPr>
              <w:t>年</w:t>
            </w:r>
          </w:p>
        </w:tc>
        <w:tc>
          <w:tcPr>
            <w:tcW w:w="728" w:type="dxa"/>
            <w:vAlign w:val="center"/>
          </w:tcPr>
          <w:p w14:paraId="3A041B05">
            <w:pPr>
              <w:widowControl/>
              <w:spacing w:line="520" w:lineRule="atLeast"/>
              <w:jc w:val="center"/>
              <w:rPr>
                <w:rFonts w:hint="eastAsia" w:ascii="仿宋" w:hAnsi="仿宋" w:eastAsia="仿宋" w:cs="仿宋"/>
                <w:color w:val="000000" w:themeColor="text1"/>
                <w:sz w:val="24"/>
                <w:lang w:eastAsia="zh-CN"/>
                <w14:textFill>
                  <w14:solidFill>
                    <w14:schemeClr w14:val="tx1"/>
                  </w14:solidFill>
                </w14:textFill>
              </w:rPr>
            </w:pPr>
            <w:r>
              <w:rPr>
                <w:rFonts w:hint="eastAsia" w:ascii="仿宋" w:hAnsi="仿宋" w:eastAsia="仿宋" w:cs="仿宋"/>
                <w:color w:val="000000" w:themeColor="text1"/>
                <w:sz w:val="24"/>
                <w:lang w:val="en-US" w:eastAsia="zh-CN"/>
                <w14:textFill>
                  <w14:solidFill>
                    <w14:schemeClr w14:val="tx1"/>
                  </w14:solidFill>
                </w14:textFill>
              </w:rPr>
              <w:t>1</w:t>
            </w:r>
          </w:p>
        </w:tc>
        <w:tc>
          <w:tcPr>
            <w:tcW w:w="1231" w:type="dxa"/>
            <w:vAlign w:val="center"/>
          </w:tcPr>
          <w:p w14:paraId="4A8D68A8">
            <w:pPr>
              <w:widowControl/>
              <w:spacing w:line="520" w:lineRule="atLeast"/>
              <w:jc w:val="center"/>
              <w:rPr>
                <w:rFonts w:hint="default" w:ascii="仿宋" w:hAnsi="仿宋" w:eastAsia="仿宋" w:cs="仿宋"/>
                <w:color w:val="000000" w:themeColor="text1"/>
                <w:sz w:val="24"/>
                <w:lang w:val="en-US" w:eastAsia="zh-CN"/>
                <w14:textFill>
                  <w14:solidFill>
                    <w14:schemeClr w14:val="tx1"/>
                  </w14:solidFill>
                </w14:textFill>
              </w:rPr>
            </w:pPr>
            <w:r>
              <w:rPr>
                <w:rFonts w:hint="default" w:ascii="仿宋" w:hAnsi="仿宋" w:eastAsia="仿宋" w:cs="仿宋"/>
                <w:color w:val="000000" w:themeColor="text1"/>
                <w:sz w:val="24"/>
                <w:lang w:val="en-US" w:eastAsia="zh-CN"/>
                <w14:textFill>
                  <w14:solidFill>
                    <w14:schemeClr w14:val="tx1"/>
                  </w14:solidFill>
                </w14:textFill>
              </w:rPr>
              <w:t>31.50</w:t>
            </w:r>
          </w:p>
        </w:tc>
        <w:tc>
          <w:tcPr>
            <w:tcW w:w="437" w:type="pct"/>
            <w:vAlign w:val="center"/>
          </w:tcPr>
          <w:p w14:paraId="2DF4C6B4">
            <w:pPr>
              <w:widowControl/>
              <w:spacing w:line="520" w:lineRule="atLeast"/>
              <w:jc w:val="center"/>
              <w:rPr>
                <w:rFonts w:hint="eastAsia" w:ascii="仿宋" w:hAnsi="仿宋" w:eastAsia="仿宋" w:cs="仿宋"/>
                <w:color w:val="000000" w:themeColor="text1"/>
                <w:sz w:val="24"/>
                <w14:textFill>
                  <w14:solidFill>
                    <w14:schemeClr w14:val="tx1"/>
                  </w14:solidFill>
                </w14:textFill>
              </w:rPr>
            </w:pPr>
            <w:bookmarkStart w:id="0" w:name="OLE_LINK17"/>
            <w:r>
              <w:rPr>
                <w:rFonts w:hint="eastAsia" w:ascii="仿宋" w:hAnsi="仿宋" w:eastAsia="仿宋" w:cs="仿宋"/>
                <w:color w:val="000000" w:themeColor="text1"/>
                <w:sz w:val="24"/>
                <w14:textFill>
                  <w14:solidFill>
                    <w14:schemeClr w14:val="tx1"/>
                  </w14:solidFill>
                </w14:textFill>
              </w:rPr>
              <w:t>否</w:t>
            </w:r>
            <w:bookmarkEnd w:id="0"/>
          </w:p>
        </w:tc>
      </w:tr>
    </w:tbl>
    <w:p w14:paraId="33EED68E">
      <w:pPr>
        <w:adjustRightInd w:val="0"/>
        <w:spacing w:before="156" w:beforeLines="50" w:after="156" w:afterLines="50" w:line="360" w:lineRule="auto"/>
        <w:ind w:firstLine="646"/>
        <w:outlineLvl w:val="1"/>
        <w:rPr>
          <w:rFonts w:hint="eastAsia" w:ascii="黑体" w:hAnsi="黑体" w:eastAsia="黑体" w:cs="仿宋"/>
          <w:bCs/>
          <w:sz w:val="32"/>
          <w:szCs w:val="32"/>
        </w:rPr>
      </w:pPr>
      <w:r>
        <w:rPr>
          <w:rFonts w:hint="eastAsia" w:ascii="黑体" w:hAnsi="黑体" w:eastAsia="黑体" w:cs="仿宋"/>
          <w:bCs/>
          <w:sz w:val="32"/>
          <w:szCs w:val="32"/>
        </w:rPr>
        <w:t>二、技术要求</w:t>
      </w:r>
    </w:p>
    <w:p w14:paraId="7A326F24">
      <w:pPr>
        <w:widowControl/>
        <w:spacing w:line="520" w:lineRule="exact"/>
        <w:ind w:firstLine="480" w:firstLineChars="200"/>
        <w:jc w:val="left"/>
        <w:rPr>
          <w:rFonts w:hint="eastAsia" w:ascii="仿宋" w:hAnsi="仿宋" w:eastAsia="仿宋" w:cs="仿宋"/>
          <w:sz w:val="24"/>
          <w:szCs w:val="32"/>
        </w:rPr>
      </w:pPr>
      <w:r>
        <w:rPr>
          <w:rFonts w:hint="eastAsia" w:ascii="仿宋" w:hAnsi="仿宋" w:eastAsia="仿宋" w:cs="仿宋"/>
          <w:sz w:val="24"/>
          <w:szCs w:val="32"/>
          <w:lang w:val="en-US" w:eastAsia="zh-CN"/>
        </w:rPr>
        <w:t>★</w:t>
      </w:r>
      <w:r>
        <w:rPr>
          <w:rFonts w:hint="eastAsia" w:ascii="仿宋" w:hAnsi="仿宋" w:eastAsia="仿宋" w:cs="仿宋"/>
          <w:sz w:val="24"/>
          <w:szCs w:val="32"/>
        </w:rPr>
        <w:t>（一）基本要求及标准</w:t>
      </w:r>
    </w:p>
    <w:p w14:paraId="0E0DF3BC">
      <w:pPr>
        <w:widowControl/>
        <w:spacing w:line="520" w:lineRule="exact"/>
        <w:ind w:firstLine="480" w:firstLineChars="200"/>
        <w:jc w:val="left"/>
        <w:rPr>
          <w:rFonts w:hint="eastAsia" w:ascii="仿宋" w:hAnsi="仿宋" w:eastAsia="仿宋" w:cs="仿宋"/>
          <w:sz w:val="24"/>
          <w:szCs w:val="32"/>
        </w:rPr>
      </w:pPr>
      <w:r>
        <w:rPr>
          <w:rFonts w:hint="eastAsia" w:ascii="仿宋" w:hAnsi="仿宋" w:eastAsia="仿宋" w:cs="仿宋"/>
          <w:sz w:val="24"/>
          <w:szCs w:val="32"/>
        </w:rPr>
        <w:t>1.供应商按</w:t>
      </w:r>
      <w:r>
        <w:rPr>
          <w:rFonts w:hint="eastAsia" w:ascii="仿宋" w:hAnsi="仿宋" w:eastAsia="仿宋" w:cs="仿宋"/>
          <w:sz w:val="24"/>
          <w:szCs w:val="32"/>
          <w:lang w:eastAsia="zh-CN"/>
        </w:rPr>
        <w:t>采购人</w:t>
      </w:r>
      <w:r>
        <w:rPr>
          <w:rFonts w:hint="eastAsia" w:ascii="仿宋" w:hAnsi="仿宋" w:eastAsia="仿宋" w:cs="仿宋"/>
          <w:sz w:val="24"/>
          <w:szCs w:val="32"/>
        </w:rPr>
        <w:t>需求及时提供安防器材设备或维修配件，须提供全新、未使用过的合格正品(含零部件、配件等)，表面无划伤、无碰撞痕迹，且权属清楚，不得侵害他人的知识产权。 保障</w:t>
      </w:r>
      <w:r>
        <w:rPr>
          <w:rFonts w:hint="eastAsia" w:ascii="仿宋" w:hAnsi="仿宋" w:eastAsia="仿宋" w:cs="仿宋"/>
          <w:sz w:val="24"/>
          <w:szCs w:val="32"/>
          <w:lang w:eastAsia="zh-CN"/>
        </w:rPr>
        <w:t>采购人</w:t>
      </w:r>
      <w:r>
        <w:rPr>
          <w:rFonts w:hint="eastAsia" w:ascii="仿宋" w:hAnsi="仿宋" w:eastAsia="仿宋" w:cs="仿宋"/>
          <w:sz w:val="24"/>
          <w:szCs w:val="32"/>
        </w:rPr>
        <w:t xml:space="preserve">安防器材及设施设备正常运行。 </w:t>
      </w:r>
    </w:p>
    <w:p w14:paraId="50D626D2">
      <w:pPr>
        <w:widowControl/>
        <w:spacing w:line="520" w:lineRule="exact"/>
        <w:ind w:firstLine="480" w:firstLineChars="200"/>
        <w:jc w:val="left"/>
        <w:rPr>
          <w:rFonts w:hint="eastAsia" w:ascii="仿宋" w:hAnsi="仿宋" w:eastAsia="仿宋" w:cs="仿宋"/>
          <w:sz w:val="24"/>
          <w:szCs w:val="32"/>
        </w:rPr>
      </w:pPr>
      <w:r>
        <w:rPr>
          <w:rFonts w:hint="eastAsia" w:ascii="仿宋" w:hAnsi="仿宋" w:eastAsia="仿宋" w:cs="仿宋"/>
          <w:sz w:val="24"/>
          <w:szCs w:val="32"/>
        </w:rPr>
        <w:t>2.所有安防器材品牌为国产且技术指标须符合国家及行业最新标准；</w:t>
      </w:r>
    </w:p>
    <w:p w14:paraId="5FB3770B">
      <w:pPr>
        <w:widowControl/>
        <w:spacing w:line="520" w:lineRule="exact"/>
        <w:ind w:firstLine="480" w:firstLineChars="200"/>
        <w:jc w:val="left"/>
        <w:rPr>
          <w:rFonts w:hint="eastAsia" w:ascii="仿宋" w:hAnsi="仿宋" w:eastAsia="仿宋" w:cs="仿宋"/>
          <w:sz w:val="24"/>
          <w:szCs w:val="32"/>
        </w:rPr>
      </w:pPr>
      <w:r>
        <w:rPr>
          <w:rFonts w:hint="eastAsia" w:ascii="仿宋" w:hAnsi="仿宋" w:eastAsia="仿宋" w:cs="仿宋"/>
          <w:sz w:val="24"/>
          <w:szCs w:val="32"/>
        </w:rPr>
        <w:t>3.所有性能要求和技术要求须符合国家及行业最新标准；</w:t>
      </w:r>
    </w:p>
    <w:p w14:paraId="26EF7271">
      <w:pPr>
        <w:widowControl/>
        <w:spacing w:line="520" w:lineRule="exact"/>
        <w:ind w:firstLine="480" w:firstLineChars="200"/>
        <w:jc w:val="left"/>
        <w:rPr>
          <w:rFonts w:hint="eastAsia" w:ascii="仿宋" w:hAnsi="仿宋" w:eastAsia="仿宋" w:cs="仿宋"/>
          <w:sz w:val="24"/>
          <w:szCs w:val="32"/>
        </w:rPr>
      </w:pPr>
      <w:r>
        <w:rPr>
          <w:rFonts w:hint="eastAsia" w:ascii="仿宋" w:hAnsi="仿宋" w:eastAsia="仿宋" w:cs="仿宋"/>
          <w:sz w:val="24"/>
          <w:szCs w:val="32"/>
        </w:rPr>
        <w:t>4.严格依照《</w:t>
      </w:r>
      <w:r>
        <w:rPr>
          <w:rFonts w:hint="eastAsia" w:ascii="仿宋" w:hAnsi="仿宋" w:eastAsia="仿宋" w:cs="仿宋"/>
          <w:sz w:val="24"/>
          <w:szCs w:val="32"/>
          <w:lang w:val="en-US" w:eastAsia="zh-CN"/>
        </w:rPr>
        <w:t>中华人民共和国</w:t>
      </w:r>
      <w:r>
        <w:rPr>
          <w:rFonts w:hint="eastAsia" w:ascii="仿宋" w:hAnsi="仿宋" w:eastAsia="仿宋" w:cs="仿宋"/>
          <w:sz w:val="24"/>
          <w:szCs w:val="32"/>
        </w:rPr>
        <w:t>产品质量法》及国家相关规定，保证安防器材和安防设备材料的质量；</w:t>
      </w:r>
    </w:p>
    <w:p w14:paraId="08F7B8C0">
      <w:pPr>
        <w:widowControl/>
        <w:spacing w:line="520" w:lineRule="exact"/>
        <w:ind w:firstLine="480" w:firstLineChars="200"/>
        <w:jc w:val="left"/>
        <w:rPr>
          <w:rFonts w:hint="eastAsia" w:ascii="仿宋" w:hAnsi="仿宋" w:eastAsia="仿宋" w:cs="仿宋"/>
          <w:sz w:val="24"/>
          <w:szCs w:val="32"/>
        </w:rPr>
      </w:pPr>
      <w:r>
        <w:rPr>
          <w:rFonts w:hint="eastAsia" w:ascii="仿宋" w:hAnsi="仿宋" w:eastAsia="仿宋" w:cs="仿宋"/>
          <w:sz w:val="24"/>
          <w:szCs w:val="32"/>
        </w:rPr>
        <w:t>5.具有专业的技术及安装施工实施能力、工程中所遇到的技术及施工安全等问题由潜在供应商自行解决；</w:t>
      </w:r>
    </w:p>
    <w:p w14:paraId="65BD95E7">
      <w:pPr>
        <w:widowControl/>
        <w:spacing w:line="520" w:lineRule="exact"/>
        <w:ind w:firstLine="480" w:firstLineChars="200"/>
        <w:jc w:val="left"/>
        <w:rPr>
          <w:rFonts w:hint="eastAsia" w:ascii="仿宋" w:hAnsi="仿宋" w:eastAsia="仿宋" w:cs="仿宋"/>
          <w:sz w:val="24"/>
          <w:szCs w:val="32"/>
        </w:rPr>
      </w:pPr>
      <w:r>
        <w:rPr>
          <w:rFonts w:hint="eastAsia" w:ascii="仿宋" w:hAnsi="仿宋" w:eastAsia="仿宋" w:cs="仿宋"/>
          <w:sz w:val="24"/>
          <w:szCs w:val="32"/>
        </w:rPr>
        <w:t>6.所有安防设备安装耗材更换须符合相关的国家标准、行业规范以及设备制造商的安装指南，确保安防设备的安装质量和使用效果；</w:t>
      </w:r>
    </w:p>
    <w:p w14:paraId="6C66D8D8">
      <w:pPr>
        <w:widowControl/>
        <w:spacing w:line="520" w:lineRule="exact"/>
        <w:ind w:firstLine="480" w:firstLineChars="200"/>
        <w:jc w:val="left"/>
        <w:rPr>
          <w:rFonts w:hint="eastAsia" w:ascii="仿宋" w:hAnsi="仿宋" w:eastAsia="仿宋" w:cs="仿宋"/>
          <w:sz w:val="24"/>
          <w:szCs w:val="32"/>
          <w:lang w:val="en-US" w:eastAsia="zh-CN"/>
        </w:rPr>
      </w:pPr>
      <w:r>
        <w:rPr>
          <w:rFonts w:hint="eastAsia" w:ascii="仿宋" w:hAnsi="仿宋" w:eastAsia="仿宋" w:cs="仿宋"/>
          <w:sz w:val="24"/>
          <w:szCs w:val="32"/>
          <w:lang w:val="en-US" w:eastAsia="zh-CN"/>
        </w:rPr>
        <w:t>7.在质量保证期内，供应商应对由于设计、工艺或材料的缺陷所发生的任何不足或故障负责三包(包修、包换、包退)，费用由供应商自行承担。提供的所有监控摄像头、门禁控制器、读卡器等设备须包安装。</w:t>
      </w:r>
    </w:p>
    <w:p w14:paraId="07DEAA3D">
      <w:pPr>
        <w:widowControl/>
        <w:spacing w:line="520" w:lineRule="exact"/>
        <w:ind w:firstLine="480" w:firstLineChars="200"/>
        <w:jc w:val="left"/>
        <w:rPr>
          <w:rFonts w:hint="eastAsia" w:ascii="仿宋" w:hAnsi="仿宋" w:eastAsia="仿宋" w:cs="仿宋"/>
          <w:sz w:val="24"/>
          <w:szCs w:val="32"/>
          <w:lang w:val="en-US" w:eastAsia="zh-CN"/>
        </w:rPr>
      </w:pPr>
      <w:r>
        <w:rPr>
          <w:rFonts w:hint="eastAsia" w:ascii="仿宋" w:hAnsi="仿宋" w:eastAsia="仿宋" w:cs="仿宋"/>
          <w:sz w:val="24"/>
          <w:szCs w:val="32"/>
          <w:lang w:val="en-US" w:eastAsia="zh-CN"/>
        </w:rPr>
        <w:t>8.本次采购产品须与我院安防系统兼容（我院现有系统为海康威视安防系统-4200）。</w:t>
      </w:r>
    </w:p>
    <w:p w14:paraId="7D2CEEBC">
      <w:pPr>
        <w:widowControl/>
        <w:spacing w:line="520" w:lineRule="exact"/>
        <w:ind w:firstLine="482" w:firstLineChars="200"/>
        <w:jc w:val="left"/>
        <w:rPr>
          <w:rFonts w:hint="eastAsia" w:ascii="仿宋" w:hAnsi="仿宋" w:eastAsia="仿宋" w:cs="仿宋"/>
          <w:b/>
          <w:bCs/>
          <w:sz w:val="24"/>
          <w:szCs w:val="32"/>
          <w:lang w:eastAsia="zh-CN"/>
        </w:rPr>
      </w:pPr>
      <w:r>
        <w:rPr>
          <w:rFonts w:hint="eastAsia" w:ascii="仿宋" w:hAnsi="仿宋" w:eastAsia="仿宋" w:cs="仿宋"/>
          <w:b/>
          <w:bCs/>
          <w:sz w:val="24"/>
          <w:szCs w:val="32"/>
          <w:lang w:val="en-US" w:eastAsia="zh-CN"/>
        </w:rPr>
        <w:t>注：“（一）基本要求及标准”供应商须</w:t>
      </w:r>
      <w:r>
        <w:rPr>
          <w:rFonts w:hint="eastAsia" w:ascii="仿宋" w:hAnsi="仿宋" w:eastAsia="仿宋" w:cs="仿宋"/>
          <w:b/>
          <w:bCs/>
          <w:sz w:val="24"/>
          <w:szCs w:val="32"/>
        </w:rPr>
        <w:t>提供承诺函并加盖公章</w:t>
      </w:r>
      <w:r>
        <w:rPr>
          <w:rFonts w:hint="eastAsia" w:ascii="仿宋" w:hAnsi="仿宋" w:eastAsia="仿宋" w:cs="仿宋"/>
          <w:b/>
          <w:bCs/>
          <w:sz w:val="24"/>
          <w:szCs w:val="32"/>
          <w:lang w:eastAsia="zh-CN"/>
        </w:rPr>
        <w:t>。</w:t>
      </w:r>
    </w:p>
    <w:p w14:paraId="244ACEE3">
      <w:pPr>
        <w:keepNext w:val="0"/>
        <w:keepLines w:val="0"/>
        <w:pageBreakBefore w:val="0"/>
        <w:kinsoku/>
        <w:wordWrap/>
        <w:overflowPunct/>
        <w:topLinePunct w:val="0"/>
        <w:bidi w:val="0"/>
        <w:spacing w:line="360" w:lineRule="auto"/>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w:t>
      </w:r>
      <w:r>
        <w:rPr>
          <w:rFonts w:hint="eastAsia" w:ascii="宋体" w:hAnsi="宋体" w:eastAsia="宋体" w:cs="宋体"/>
          <w:b/>
          <w:bCs/>
          <w:sz w:val="24"/>
          <w:szCs w:val="24"/>
          <w:lang w:val="zh-CN"/>
        </w:rPr>
        <w:t>二）</w:t>
      </w:r>
      <w:r>
        <w:rPr>
          <w:rFonts w:hint="eastAsia" w:ascii="宋体" w:hAnsi="宋体" w:eastAsia="宋体" w:cs="宋体"/>
          <w:b/>
          <w:bCs/>
          <w:sz w:val="24"/>
          <w:szCs w:val="24"/>
          <w:lang w:val="en-US" w:eastAsia="zh-CN"/>
        </w:rPr>
        <w:t>安</w:t>
      </w:r>
      <w:r>
        <w:rPr>
          <w:rFonts w:hint="eastAsia" w:ascii="宋体" w:hAnsi="宋体" w:eastAsia="宋体" w:cs="宋体"/>
          <w:b/>
          <w:bCs/>
          <w:sz w:val="24"/>
          <w:szCs w:val="24"/>
        </w:rPr>
        <w:t>防系统</w:t>
      </w:r>
      <w:r>
        <w:rPr>
          <w:rFonts w:hint="eastAsia" w:ascii="宋体" w:hAnsi="宋体" w:eastAsia="宋体" w:cs="宋体"/>
          <w:b/>
          <w:bCs/>
          <w:sz w:val="24"/>
          <w:szCs w:val="24"/>
          <w:lang w:val="en-US" w:eastAsia="zh-CN"/>
        </w:rPr>
        <w:t>及</w:t>
      </w:r>
      <w:r>
        <w:rPr>
          <w:rFonts w:hint="eastAsia" w:ascii="宋体" w:hAnsi="宋体" w:eastAsia="宋体" w:cs="宋体"/>
          <w:b/>
          <w:bCs/>
          <w:sz w:val="24"/>
          <w:szCs w:val="24"/>
        </w:rPr>
        <w:t>设</w:t>
      </w:r>
      <w:r>
        <w:rPr>
          <w:rFonts w:hint="eastAsia" w:ascii="宋体" w:hAnsi="宋体" w:eastAsia="宋体" w:cs="宋体"/>
          <w:b/>
          <w:bCs/>
          <w:sz w:val="24"/>
          <w:szCs w:val="24"/>
          <w:lang w:val="en-US" w:eastAsia="zh-CN"/>
        </w:rPr>
        <w:t>备器材参数及最高限价</w:t>
      </w:r>
      <w:r>
        <w:rPr>
          <w:rFonts w:hint="eastAsia" w:ascii="宋体" w:hAnsi="宋体" w:eastAsia="宋体" w:cs="宋体"/>
          <w:b/>
          <w:bCs/>
          <w:sz w:val="24"/>
          <w:szCs w:val="24"/>
        </w:rPr>
        <w:t>：</w:t>
      </w:r>
    </w:p>
    <w:tbl>
      <w:tblPr>
        <w:tblStyle w:val="14"/>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26"/>
        <w:gridCol w:w="1579"/>
        <w:gridCol w:w="4755"/>
        <w:gridCol w:w="1312"/>
        <w:gridCol w:w="447"/>
      </w:tblGrid>
      <w:tr w14:paraId="606CBD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2" w:hRule="atLeast"/>
        </w:trPr>
        <w:tc>
          <w:tcPr>
            <w:tcW w:w="5000" w:type="pct"/>
            <w:gridSpan w:val="5"/>
            <w:tcBorders>
              <w:top w:val="single" w:color="auto" w:sz="4" w:space="0"/>
              <w:left w:val="single" w:color="auto" w:sz="4" w:space="0"/>
              <w:bottom w:val="single" w:color="auto" w:sz="4" w:space="0"/>
              <w:right w:val="single" w:color="auto" w:sz="4" w:space="0"/>
            </w:tcBorders>
            <w:noWrap w:val="0"/>
            <w:vAlign w:val="center"/>
          </w:tcPr>
          <w:p w14:paraId="33B80AFD">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b/>
                <w:bCs/>
                <w:i w:val="0"/>
                <w:iCs w:val="0"/>
                <w:color w:val="000000"/>
                <w:kern w:val="0"/>
                <w:sz w:val="21"/>
                <w:szCs w:val="21"/>
                <w:highlight w:val="none"/>
                <w:u w:val="none"/>
                <w:lang w:val="en-US" w:eastAsia="zh-CN" w:bidi="ar"/>
              </w:rPr>
            </w:pPr>
            <w:r>
              <w:rPr>
                <w:rFonts w:hint="eastAsia" w:ascii="仿宋" w:hAnsi="仿宋" w:eastAsia="仿宋" w:cs="仿宋"/>
                <w:b/>
                <w:bCs/>
                <w:spacing w:val="-8"/>
                <w:kern w:val="2"/>
                <w:sz w:val="21"/>
                <w:szCs w:val="21"/>
                <w:highlight w:val="none"/>
                <w:lang w:val="en-US" w:eastAsia="zh-CN" w:bidi="ar-SA"/>
              </w:rPr>
              <w:t>常用安防系统及设备器材</w:t>
            </w:r>
          </w:p>
        </w:tc>
      </w:tr>
      <w:tr w14:paraId="185D37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1" w:hRule="atLeast"/>
        </w:trPr>
        <w:tc>
          <w:tcPr>
            <w:tcW w:w="250" w:type="pct"/>
            <w:tcBorders>
              <w:top w:val="single" w:color="auto" w:sz="4" w:space="0"/>
              <w:left w:val="single" w:color="auto" w:sz="4" w:space="0"/>
              <w:bottom w:val="single" w:color="auto" w:sz="4" w:space="0"/>
              <w:right w:val="single" w:color="auto" w:sz="4" w:space="0"/>
            </w:tcBorders>
            <w:noWrap w:val="0"/>
            <w:vAlign w:val="center"/>
          </w:tcPr>
          <w:p w14:paraId="58055D97">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b/>
                <w:bCs/>
                <w:i w:val="0"/>
                <w:iCs w:val="0"/>
                <w:color w:val="000000"/>
                <w:kern w:val="0"/>
                <w:sz w:val="21"/>
                <w:szCs w:val="21"/>
                <w:highlight w:val="none"/>
                <w:u w:val="none"/>
                <w:lang w:val="en-US" w:eastAsia="zh-CN" w:bidi="ar"/>
              </w:rPr>
            </w:pPr>
            <w:r>
              <w:rPr>
                <w:rFonts w:hint="eastAsia" w:ascii="仿宋" w:hAnsi="仿宋" w:eastAsia="仿宋" w:cs="仿宋"/>
                <w:b/>
                <w:bCs/>
                <w:i w:val="0"/>
                <w:iCs w:val="0"/>
                <w:color w:val="000000"/>
                <w:kern w:val="0"/>
                <w:sz w:val="21"/>
                <w:szCs w:val="21"/>
                <w:highlight w:val="none"/>
                <w:u w:val="none"/>
                <w:lang w:val="en-US" w:eastAsia="zh-CN" w:bidi="ar"/>
              </w:rPr>
              <w:t>序号</w:t>
            </w:r>
          </w:p>
        </w:tc>
        <w:tc>
          <w:tcPr>
            <w:tcW w:w="926" w:type="pct"/>
            <w:tcBorders>
              <w:top w:val="single" w:color="auto" w:sz="4" w:space="0"/>
              <w:left w:val="single" w:color="auto" w:sz="4" w:space="0"/>
              <w:bottom w:val="single" w:color="auto" w:sz="4" w:space="0"/>
              <w:right w:val="single" w:color="auto" w:sz="4" w:space="0"/>
            </w:tcBorders>
            <w:noWrap w:val="0"/>
            <w:vAlign w:val="center"/>
          </w:tcPr>
          <w:p w14:paraId="04519944">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b/>
                <w:bCs/>
                <w:i w:val="0"/>
                <w:iCs w:val="0"/>
                <w:color w:val="000000"/>
                <w:kern w:val="0"/>
                <w:sz w:val="21"/>
                <w:szCs w:val="21"/>
                <w:highlight w:val="none"/>
                <w:u w:val="none"/>
                <w:lang w:val="en-US" w:eastAsia="zh-CN" w:bidi="ar"/>
              </w:rPr>
            </w:pPr>
            <w:r>
              <w:rPr>
                <w:rFonts w:hint="eastAsia" w:ascii="仿宋" w:hAnsi="仿宋" w:eastAsia="仿宋" w:cs="仿宋"/>
                <w:b/>
                <w:bCs/>
                <w:i w:val="0"/>
                <w:iCs w:val="0"/>
                <w:color w:val="000000"/>
                <w:kern w:val="0"/>
                <w:sz w:val="21"/>
                <w:szCs w:val="21"/>
                <w:highlight w:val="none"/>
                <w:u w:val="none"/>
                <w:lang w:val="en-US" w:eastAsia="zh-CN" w:bidi="ar"/>
              </w:rPr>
              <w:t>器材名称</w:t>
            </w:r>
          </w:p>
        </w:tc>
        <w:tc>
          <w:tcPr>
            <w:tcW w:w="2790" w:type="pct"/>
            <w:tcBorders>
              <w:top w:val="single" w:color="auto" w:sz="4" w:space="0"/>
              <w:left w:val="single" w:color="auto" w:sz="4" w:space="0"/>
              <w:bottom w:val="single" w:color="auto" w:sz="4" w:space="0"/>
              <w:right w:val="single" w:color="auto" w:sz="4" w:space="0"/>
            </w:tcBorders>
            <w:noWrap/>
            <w:vAlign w:val="center"/>
          </w:tcPr>
          <w:p w14:paraId="5F97560B">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b/>
                <w:bCs/>
                <w:i w:val="0"/>
                <w:iCs w:val="0"/>
                <w:color w:val="000000"/>
                <w:kern w:val="0"/>
                <w:sz w:val="21"/>
                <w:szCs w:val="21"/>
                <w:highlight w:val="none"/>
                <w:u w:val="none"/>
                <w:lang w:val="en-US" w:eastAsia="zh-CN" w:bidi="ar"/>
              </w:rPr>
            </w:pPr>
            <w:r>
              <w:rPr>
                <w:rFonts w:hint="eastAsia" w:ascii="仿宋" w:hAnsi="仿宋" w:eastAsia="仿宋" w:cs="仿宋"/>
                <w:b/>
                <w:bCs/>
                <w:i w:val="0"/>
                <w:iCs w:val="0"/>
                <w:color w:val="000000"/>
                <w:kern w:val="0"/>
                <w:sz w:val="21"/>
                <w:szCs w:val="21"/>
                <w:highlight w:val="none"/>
                <w:u w:val="none"/>
                <w:lang w:val="en-US" w:eastAsia="zh-CN" w:bidi="ar"/>
              </w:rPr>
              <w:t>技术参数要求</w:t>
            </w:r>
          </w:p>
        </w:tc>
        <w:tc>
          <w:tcPr>
            <w:tcW w:w="770" w:type="pct"/>
            <w:tcBorders>
              <w:top w:val="single" w:color="auto" w:sz="4" w:space="0"/>
              <w:left w:val="single" w:color="auto" w:sz="4" w:space="0"/>
              <w:bottom w:val="single" w:color="auto" w:sz="4" w:space="0"/>
              <w:right w:val="single" w:color="auto" w:sz="4" w:space="0"/>
            </w:tcBorders>
            <w:noWrap/>
            <w:vAlign w:val="center"/>
          </w:tcPr>
          <w:p w14:paraId="3C57DE48">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b/>
                <w:bCs/>
                <w:i w:val="0"/>
                <w:iCs w:val="0"/>
                <w:color w:val="000000"/>
                <w:kern w:val="0"/>
                <w:sz w:val="21"/>
                <w:szCs w:val="21"/>
                <w:highlight w:val="none"/>
                <w:u w:val="none"/>
                <w:lang w:val="en-US" w:eastAsia="zh-CN" w:bidi="ar"/>
              </w:rPr>
            </w:pPr>
            <w:r>
              <w:rPr>
                <w:rFonts w:hint="eastAsia" w:ascii="仿宋" w:hAnsi="仿宋" w:eastAsia="仿宋" w:cs="仿宋"/>
                <w:b/>
                <w:bCs/>
                <w:i w:val="0"/>
                <w:iCs w:val="0"/>
                <w:color w:val="000000"/>
                <w:kern w:val="0"/>
                <w:sz w:val="21"/>
                <w:szCs w:val="21"/>
                <w:highlight w:val="none"/>
                <w:u w:val="none"/>
                <w:lang w:val="en-US" w:eastAsia="zh-CN" w:bidi="ar"/>
              </w:rPr>
              <w:t>★单价最高限价（元）</w:t>
            </w:r>
          </w:p>
        </w:tc>
        <w:tc>
          <w:tcPr>
            <w:tcW w:w="262" w:type="pct"/>
            <w:tcBorders>
              <w:top w:val="single" w:color="auto" w:sz="4" w:space="0"/>
              <w:left w:val="single" w:color="auto" w:sz="4" w:space="0"/>
              <w:bottom w:val="single" w:color="auto" w:sz="4" w:space="0"/>
              <w:right w:val="single" w:color="auto" w:sz="4" w:space="0"/>
            </w:tcBorders>
            <w:noWrap/>
            <w:vAlign w:val="center"/>
          </w:tcPr>
          <w:p w14:paraId="0430EC21">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b/>
                <w:bCs/>
                <w:i w:val="0"/>
                <w:iCs w:val="0"/>
                <w:color w:val="000000"/>
                <w:kern w:val="0"/>
                <w:sz w:val="21"/>
                <w:szCs w:val="21"/>
                <w:highlight w:val="none"/>
                <w:u w:val="none"/>
                <w:lang w:val="en-US" w:eastAsia="zh-CN" w:bidi="ar"/>
              </w:rPr>
            </w:pPr>
          </w:p>
        </w:tc>
      </w:tr>
      <w:tr w14:paraId="1BE677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4" w:hRule="atLeast"/>
        </w:trPr>
        <w:tc>
          <w:tcPr>
            <w:tcW w:w="250" w:type="pct"/>
            <w:tcBorders>
              <w:top w:val="single" w:color="auto" w:sz="4" w:space="0"/>
              <w:left w:val="single" w:color="000000" w:sz="4" w:space="0"/>
              <w:bottom w:val="single" w:color="000000" w:sz="4" w:space="0"/>
              <w:right w:val="single" w:color="000000" w:sz="4" w:space="0"/>
            </w:tcBorders>
            <w:noWrap w:val="0"/>
            <w:vAlign w:val="center"/>
          </w:tcPr>
          <w:p w14:paraId="10411784">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auto" w:sz="4" w:space="0"/>
              <w:left w:val="single" w:color="000000" w:sz="4" w:space="0"/>
              <w:bottom w:val="single" w:color="000000" w:sz="4" w:space="0"/>
              <w:right w:val="single" w:color="000000" w:sz="4" w:space="0"/>
            </w:tcBorders>
            <w:noWrap w:val="0"/>
            <w:vAlign w:val="center"/>
          </w:tcPr>
          <w:p w14:paraId="37E1FEB1">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电梯摄像头POE（400W）</w:t>
            </w:r>
          </w:p>
        </w:tc>
        <w:tc>
          <w:tcPr>
            <w:tcW w:w="2790" w:type="pct"/>
            <w:tcBorders>
              <w:top w:val="single" w:color="auto" w:sz="4" w:space="0"/>
              <w:left w:val="single" w:color="000000" w:sz="4" w:space="0"/>
              <w:bottom w:val="single" w:color="000000" w:sz="4" w:space="0"/>
              <w:right w:val="single" w:color="000000" w:sz="4" w:space="0"/>
            </w:tcBorders>
            <w:noWrap w:val="0"/>
            <w:vAlign w:val="center"/>
          </w:tcPr>
          <w:p w14:paraId="5FE8CE60">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1.像素：≥400万，电梯专用摄像机，视频分辨率和帧率≥2560×1440、25帧/秒，彩色最低照度≤0.005lx，尺寸</w:t>
            </w:r>
            <w:r>
              <w:rPr>
                <w:rFonts w:hint="eastAsia" w:ascii="仿宋" w:hAnsi="仿宋" w:eastAsia="仿宋" w:cs="仿宋"/>
                <w:highlight w:val="none"/>
                <w:lang w:val="en-US" w:eastAsia="zh-CN"/>
              </w:rPr>
              <w:t>≤</w:t>
            </w:r>
            <w:r>
              <w:rPr>
                <w:rFonts w:hint="eastAsia" w:ascii="仿宋" w:hAnsi="仿宋" w:eastAsia="仿宋" w:cs="仿宋"/>
                <w:i w:val="0"/>
                <w:iCs w:val="0"/>
                <w:color w:val="000000"/>
                <w:kern w:val="0"/>
                <w:sz w:val="21"/>
                <w:szCs w:val="21"/>
                <w:highlight w:val="none"/>
                <w:u w:val="none"/>
                <w:lang w:val="en-US" w:eastAsia="zh-CN" w:bidi="ar"/>
              </w:rPr>
              <w:t>φ120*60mm；</w:t>
            </w:r>
          </w:p>
          <w:p w14:paraId="43FFD447">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4"/>
                <w:szCs w:val="24"/>
                <w:highlight w:val="none"/>
                <w:u w:val="none"/>
                <w:lang w:val="en-US" w:eastAsia="zh-CN" w:bidi="ar"/>
              </w:rPr>
              <w:t>▲</w:t>
            </w:r>
            <w:r>
              <w:rPr>
                <w:rFonts w:hint="eastAsia" w:ascii="仿宋" w:hAnsi="仿宋" w:eastAsia="仿宋" w:cs="仿宋"/>
                <w:i w:val="0"/>
                <w:iCs w:val="0"/>
                <w:color w:val="000000"/>
                <w:kern w:val="0"/>
                <w:sz w:val="21"/>
                <w:szCs w:val="21"/>
                <w:highlight w:val="none"/>
                <w:u w:val="none"/>
                <w:lang w:val="en-US" w:eastAsia="zh-CN" w:bidi="ar"/>
              </w:rPr>
              <w:t>2.支持POE供电，内置麦克风、扬声器，≥1个存储卡接口，≥1对音频输入/输出接口、≥1对报警输入输出接口，红外补光距离≥5米，防暴等级≥IK08</w:t>
            </w:r>
          </w:p>
        </w:tc>
        <w:tc>
          <w:tcPr>
            <w:tcW w:w="770" w:type="pct"/>
            <w:tcBorders>
              <w:top w:val="single" w:color="auto" w:sz="4" w:space="0"/>
              <w:left w:val="single" w:color="000000" w:sz="4" w:space="0"/>
              <w:bottom w:val="single" w:color="000000" w:sz="4" w:space="0"/>
              <w:right w:val="single" w:color="000000" w:sz="4" w:space="0"/>
            </w:tcBorders>
            <w:noWrap w:val="0"/>
            <w:vAlign w:val="center"/>
          </w:tcPr>
          <w:p w14:paraId="1085F93B">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530</w:t>
            </w:r>
          </w:p>
        </w:tc>
        <w:tc>
          <w:tcPr>
            <w:tcW w:w="262" w:type="pct"/>
            <w:tcBorders>
              <w:top w:val="single" w:color="auto" w:sz="4" w:space="0"/>
              <w:left w:val="single" w:color="000000" w:sz="4" w:space="0"/>
              <w:bottom w:val="single" w:color="000000" w:sz="4" w:space="0"/>
              <w:right w:val="single" w:color="000000" w:sz="4" w:space="0"/>
            </w:tcBorders>
            <w:noWrap w:val="0"/>
            <w:vAlign w:val="center"/>
          </w:tcPr>
          <w:p w14:paraId="45598625">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434B64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9"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57C7EB65">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305B6B88">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半球式摄像头POE（400W）</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24757B6E">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1.像素：≥400万，高清半球摄像机，视频分辨率和帧率≥2560x1440、25帧/秒，支持≥120 dB宽动态，最低照度≤0.01 lx，视频压缩标准需支持H.265和H.264，支持水平、垂直、旋转三轴调节；</w:t>
            </w:r>
          </w:p>
          <w:p w14:paraId="208A455C">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2.支持记录系统操作、配置操作、数据操作、事件操作、异常状态、用户管理、清空日志等，包含日志信息。可按照主类型、次类型、开始时间、结束时间搜索日志，主类型有：全部类型、报警、异常、操作、信息等≥五种类型；次类型可在主类型限定范围内按功能细分搜索的日志范围；</w:t>
            </w:r>
          </w:p>
          <w:p w14:paraId="14FEAD79">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4"/>
                <w:szCs w:val="24"/>
                <w:highlight w:val="none"/>
                <w:u w:val="none"/>
                <w:lang w:val="en-US" w:eastAsia="zh-CN" w:bidi="ar"/>
              </w:rPr>
              <w:t>▲</w:t>
            </w:r>
            <w:r>
              <w:rPr>
                <w:rFonts w:hint="eastAsia" w:ascii="仿宋" w:hAnsi="仿宋" w:eastAsia="仿宋" w:cs="仿宋"/>
                <w:i w:val="0"/>
                <w:iCs w:val="0"/>
                <w:color w:val="000000"/>
                <w:kern w:val="0"/>
                <w:sz w:val="21"/>
                <w:szCs w:val="21"/>
                <w:highlight w:val="none"/>
                <w:u w:val="none"/>
                <w:lang w:val="en-US" w:eastAsia="zh-CN" w:bidi="ar"/>
              </w:rPr>
              <w:t>3.字符叠加(OSD)功能支持在视频图像上叠加≥28行字符，字符可选择项至少包括通道名称、时间、日期等，字体、颜色、位置、闪烁、滚动效果可设置；4. 具有≥1个网口、支持POE供电，≥1个麦克风，支持≥25米红外补光，防护等级</w:t>
            </w:r>
            <w:r>
              <w:rPr>
                <w:rFonts w:hint="eastAsia" w:ascii="仿宋" w:hAnsi="仿宋" w:eastAsia="仿宋" w:cs="仿宋"/>
                <w:highlight w:val="none"/>
                <w:lang w:val="en-US" w:eastAsia="zh-CN"/>
              </w:rPr>
              <w:t>≥</w:t>
            </w:r>
            <w:r>
              <w:rPr>
                <w:rFonts w:hint="eastAsia" w:ascii="仿宋" w:hAnsi="仿宋" w:eastAsia="仿宋" w:cs="仿宋"/>
                <w:i w:val="0"/>
                <w:iCs w:val="0"/>
                <w:color w:val="000000"/>
                <w:kern w:val="0"/>
                <w:sz w:val="21"/>
                <w:szCs w:val="21"/>
                <w:highlight w:val="none"/>
                <w:u w:val="none"/>
                <w:lang w:val="en-US" w:eastAsia="zh-CN" w:bidi="ar"/>
              </w:rPr>
              <w:t>IP66。</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5D81A4C2">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734</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03FDBEAA">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0F806A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6"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65C655C9">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14432BBA">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枪式摄头 POE（400W）</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34974DB3">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 像素：≥400万，在2560x1440下分辨力可达到1400TVL</w:t>
            </w:r>
          </w:p>
          <w:p w14:paraId="6606EA3F">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2. 信噪比</w:t>
            </w:r>
            <w:r>
              <w:rPr>
                <w:rFonts w:hint="eastAsia" w:ascii="仿宋" w:hAnsi="仿宋" w:eastAsia="仿宋" w:cs="仿宋"/>
                <w:highlight w:val="none"/>
                <w:lang w:val="en-US" w:eastAsia="zh-CN"/>
              </w:rPr>
              <w:t>≥</w:t>
            </w:r>
            <w:r>
              <w:rPr>
                <w:rFonts w:hint="eastAsia" w:ascii="仿宋" w:hAnsi="仿宋" w:eastAsia="仿宋" w:cs="仿宋"/>
                <w:i w:val="0"/>
                <w:iCs w:val="0"/>
                <w:color w:val="000000"/>
                <w:kern w:val="0"/>
                <w:sz w:val="21"/>
                <w:szCs w:val="21"/>
                <w:highlight w:val="none"/>
                <w:u w:val="none"/>
                <w:lang w:val="en-US" w:eastAsia="zh-CN" w:bidi="ar"/>
              </w:rPr>
              <w:t>55dB。</w:t>
            </w:r>
          </w:p>
          <w:p w14:paraId="167413D4">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3. 支持红外补光，有效补光距离</w:t>
            </w:r>
            <w:r>
              <w:rPr>
                <w:rFonts w:hint="eastAsia" w:ascii="仿宋" w:hAnsi="仿宋" w:eastAsia="仿宋" w:cs="仿宋"/>
                <w:highlight w:val="none"/>
                <w:lang w:val="en-US" w:eastAsia="zh-CN"/>
              </w:rPr>
              <w:t>≥</w:t>
            </w:r>
            <w:r>
              <w:rPr>
                <w:rFonts w:hint="eastAsia" w:ascii="仿宋" w:hAnsi="仿宋" w:eastAsia="仿宋" w:cs="仿宋"/>
                <w:i w:val="0"/>
                <w:iCs w:val="0"/>
                <w:color w:val="000000"/>
                <w:kern w:val="0"/>
                <w:sz w:val="21"/>
                <w:szCs w:val="21"/>
                <w:highlight w:val="none"/>
                <w:u w:val="none"/>
                <w:lang w:val="en-US" w:eastAsia="zh-CN" w:bidi="ar"/>
              </w:rPr>
              <w:t>50m</w:t>
            </w:r>
          </w:p>
          <w:p w14:paraId="01C26EF7">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4. 需支持</w:t>
            </w:r>
            <w:r>
              <w:rPr>
                <w:rFonts w:hint="eastAsia" w:ascii="仿宋" w:hAnsi="仿宋" w:eastAsia="仿宋" w:cs="仿宋"/>
                <w:highlight w:val="none"/>
                <w:lang w:val="en-US" w:eastAsia="zh-CN"/>
              </w:rPr>
              <w:t>≥</w:t>
            </w:r>
            <w:r>
              <w:rPr>
                <w:rFonts w:hint="eastAsia" w:ascii="仿宋" w:hAnsi="仿宋" w:eastAsia="仿宋" w:cs="仿宋"/>
                <w:i w:val="0"/>
                <w:iCs w:val="0"/>
                <w:color w:val="000000"/>
                <w:kern w:val="0"/>
                <w:sz w:val="21"/>
                <w:szCs w:val="21"/>
                <w:highlight w:val="none"/>
                <w:u w:val="none"/>
                <w:lang w:val="en-US" w:eastAsia="zh-CN" w:bidi="ar"/>
              </w:rPr>
              <w:t>IP66防尘防水。</w:t>
            </w:r>
          </w:p>
          <w:p w14:paraId="6F3339AC">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5. 支持DC12V或poe供电</w:t>
            </w:r>
          </w:p>
          <w:p w14:paraId="62A2C90F">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6. 内置≥1个麦克风，≥1个RJ45网络接口</w:t>
            </w:r>
          </w:p>
          <w:p w14:paraId="17E3DDF4">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7. 靶面尺寸为≥1/2.7英寸</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3F4A8DFE">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734</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1A37170B">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701D03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82"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50D0C907">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614B3FDE">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Style w:val="30"/>
                <w:rFonts w:hint="eastAsia" w:ascii="仿宋" w:hAnsi="仿宋" w:eastAsia="仿宋" w:cs="仿宋"/>
                <w:sz w:val="21"/>
                <w:szCs w:val="21"/>
                <w:highlight w:val="none"/>
                <w:lang w:val="en-US" w:eastAsia="zh-CN" w:bidi="ar"/>
              </w:rPr>
              <w:t>半球智能摄像头 POE（400W人脸抓拍）</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4547C5B4">
            <w:pPr>
              <w:keepNext w:val="0"/>
              <w:keepLines w:val="0"/>
              <w:pageBreakBefore w:val="0"/>
              <w:widowControl/>
              <w:numPr>
                <w:ilvl w:val="0"/>
                <w:numId w:val="0"/>
              </w:numPr>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1.</w:t>
            </w:r>
            <w:r>
              <w:rPr>
                <w:rFonts w:hint="eastAsia" w:ascii="仿宋" w:hAnsi="仿宋" w:eastAsia="仿宋" w:cs="仿宋"/>
                <w:i w:val="0"/>
                <w:iCs w:val="0"/>
                <w:color w:val="000000"/>
                <w:kern w:val="0"/>
                <w:sz w:val="21"/>
                <w:szCs w:val="21"/>
                <w:highlight w:val="none"/>
                <w:u w:val="none"/>
                <w:lang w:val="en-US" w:eastAsia="zh-CN" w:bidi="ar"/>
              </w:rPr>
              <w:t>像素：</w:t>
            </w:r>
            <w:r>
              <w:rPr>
                <w:rFonts w:hint="eastAsia" w:ascii="仿宋" w:hAnsi="仿宋" w:eastAsia="仿宋" w:cs="仿宋"/>
                <w:highlight w:val="none"/>
                <w:lang w:val="en-US" w:eastAsia="zh-CN"/>
              </w:rPr>
              <w:t>≥</w:t>
            </w:r>
            <w:r>
              <w:rPr>
                <w:rFonts w:hint="eastAsia" w:ascii="仿宋" w:hAnsi="仿宋" w:eastAsia="仿宋" w:cs="仿宋"/>
                <w:i w:val="0"/>
                <w:iCs w:val="0"/>
                <w:color w:val="000000"/>
                <w:kern w:val="0"/>
                <w:sz w:val="21"/>
                <w:szCs w:val="21"/>
                <w:highlight w:val="none"/>
                <w:u w:val="none"/>
                <w:lang w:val="en-US" w:eastAsia="zh-CN" w:bidi="ar"/>
              </w:rPr>
              <w:t>400万，智能网络半球摄像机，图像传感器≥1/1.8英寸，最大分辨率和帧率</w:t>
            </w:r>
            <w:r>
              <w:rPr>
                <w:rFonts w:hint="eastAsia" w:ascii="仿宋" w:hAnsi="仿宋" w:eastAsia="仿宋" w:cs="仿宋"/>
                <w:highlight w:val="none"/>
                <w:lang w:val="en-US" w:eastAsia="zh-CN"/>
              </w:rPr>
              <w:t>≥</w:t>
            </w:r>
            <w:r>
              <w:rPr>
                <w:rFonts w:hint="eastAsia" w:ascii="仿宋" w:hAnsi="仿宋" w:eastAsia="仿宋" w:cs="仿宋"/>
                <w:i w:val="0"/>
                <w:iCs w:val="0"/>
                <w:color w:val="000000"/>
                <w:kern w:val="0"/>
                <w:sz w:val="21"/>
                <w:szCs w:val="21"/>
                <w:highlight w:val="none"/>
                <w:u w:val="none"/>
                <w:lang w:val="en-US" w:eastAsia="zh-CN" w:bidi="ar"/>
              </w:rPr>
              <w:t>2560×1440、25帧/秒，内置电动变焦镜头，电动变焦范围≥3-12mm，最低照度需满足彩色≤0.0005  lx，黑白≤0.0001  lx，宽动态能力综合评价得分≥130；</w:t>
            </w:r>
          </w:p>
          <w:p w14:paraId="4AC92675">
            <w:pPr>
              <w:keepNext w:val="0"/>
              <w:keepLines w:val="0"/>
              <w:pageBreakBefore w:val="0"/>
              <w:widowControl/>
              <w:numPr>
                <w:ilvl w:val="0"/>
                <w:numId w:val="0"/>
              </w:numPr>
              <w:suppressLineNumbers w:val="0"/>
              <w:kinsoku/>
              <w:wordWrap/>
              <w:overflowPunct/>
              <w:topLinePunct w:val="0"/>
              <w:autoSpaceDE/>
              <w:autoSpaceDN/>
              <w:bidi w:val="0"/>
              <w:adjustRightInd w:val="0"/>
              <w:snapToGrid w:val="0"/>
              <w:spacing w:line="520" w:lineRule="exact"/>
              <w:ind w:firstLine="0" w:firstLineChars="0"/>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2.支持≥3种智能资源切换，支持同时检测并且抓拍≥30张人脸，支持对人脸进行检测、跟踪、抓拍、评分、筛选输出最优图片；</w:t>
            </w:r>
          </w:p>
          <w:p w14:paraId="4C627923">
            <w:pPr>
              <w:keepNext w:val="0"/>
              <w:keepLines w:val="0"/>
              <w:pageBreakBefore w:val="0"/>
              <w:widowControl/>
              <w:numPr>
                <w:ilvl w:val="0"/>
                <w:numId w:val="0"/>
              </w:numPr>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3.内置GPU或含GPU的多合一芯片，内置≥2个麦克风、1个扬声器，支持双麦克风声音采集，支持左右声道编码，至少支持选择左声道、右声道、立体声播放声音；</w:t>
            </w:r>
          </w:p>
          <w:p w14:paraId="399099AB">
            <w:pPr>
              <w:keepNext w:val="0"/>
              <w:keepLines w:val="0"/>
              <w:pageBreakBefore w:val="0"/>
              <w:widowControl/>
              <w:numPr>
                <w:ilvl w:val="0"/>
                <w:numId w:val="0"/>
              </w:numPr>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4.支持人数统计功能，支持设置≥8个人数统计区域，支持自定义区域名称，支持人员密度报警、人数异常报警、停留时间异常报警等报警类型，每个人数统计区域支持设置≥3种报警类型；</w:t>
            </w:r>
          </w:p>
          <w:p w14:paraId="7A3A06D2">
            <w:pPr>
              <w:keepNext w:val="0"/>
              <w:keepLines w:val="0"/>
              <w:pageBreakBefore w:val="0"/>
              <w:widowControl/>
              <w:numPr>
                <w:ilvl w:val="0"/>
                <w:numId w:val="0"/>
              </w:numPr>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5.支持同时对不同速度、明亮度、反光度的行人、非机动车、机动车分类曝光，支持实时检测、跟踪、抓拍行进的行人人脸、人体、非机动车及车上人员、机动车车牌、机动车，支持识别人脸及车牌号码，抓拍的人脸和车牌号码图片应清晰可辨，无过曝、过暗情况；</w:t>
            </w:r>
          </w:p>
          <w:p w14:paraId="6B6FF842">
            <w:pPr>
              <w:keepNext w:val="0"/>
              <w:keepLines w:val="0"/>
              <w:pageBreakBefore w:val="0"/>
              <w:widowControl/>
              <w:numPr>
                <w:ilvl w:val="0"/>
                <w:numId w:val="0"/>
              </w:numPr>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4"/>
                <w:szCs w:val="24"/>
                <w:highlight w:val="none"/>
                <w:u w:val="none"/>
                <w:lang w:val="en-US" w:eastAsia="zh-CN" w:bidi="ar"/>
              </w:rPr>
              <w:t>▲</w:t>
            </w:r>
            <w:r>
              <w:rPr>
                <w:rFonts w:hint="eastAsia" w:ascii="仿宋" w:hAnsi="仿宋" w:eastAsia="仿宋" w:cs="仿宋"/>
                <w:i w:val="0"/>
                <w:iCs w:val="0"/>
                <w:color w:val="000000"/>
                <w:kern w:val="0"/>
                <w:sz w:val="21"/>
                <w:szCs w:val="21"/>
                <w:highlight w:val="none"/>
                <w:u w:val="none"/>
                <w:lang w:val="en-US" w:eastAsia="zh-CN" w:bidi="ar"/>
              </w:rPr>
              <w:t>6.支持PoE供电，具有DC12V电源输出接口，内置存储卡插槽，≥1个RS-485、2个音频输入、1个音频输出、2个报警输入、2个报警输出接口，红外补光距离≥30m，防护等级</w:t>
            </w:r>
            <w:r>
              <w:rPr>
                <w:rFonts w:hint="eastAsia" w:ascii="仿宋" w:hAnsi="仿宋" w:eastAsia="仿宋" w:cs="仿宋"/>
                <w:highlight w:val="none"/>
                <w:lang w:val="en-US" w:eastAsia="zh-CN"/>
              </w:rPr>
              <w:t>≥</w:t>
            </w:r>
            <w:r>
              <w:rPr>
                <w:rFonts w:hint="eastAsia" w:ascii="仿宋" w:hAnsi="仿宋" w:eastAsia="仿宋" w:cs="仿宋"/>
                <w:i w:val="0"/>
                <w:iCs w:val="0"/>
                <w:color w:val="000000"/>
                <w:kern w:val="0"/>
                <w:sz w:val="21"/>
                <w:szCs w:val="21"/>
                <w:highlight w:val="none"/>
                <w:u w:val="none"/>
                <w:lang w:val="en-US" w:eastAsia="zh-CN" w:bidi="ar"/>
              </w:rPr>
              <w:t>IP67，防暴等级</w:t>
            </w:r>
            <w:r>
              <w:rPr>
                <w:rFonts w:hint="eastAsia" w:ascii="仿宋" w:hAnsi="仿宋" w:eastAsia="仿宋" w:cs="仿宋"/>
                <w:highlight w:val="none"/>
                <w:lang w:val="en-US" w:eastAsia="zh-CN"/>
              </w:rPr>
              <w:t>≥</w:t>
            </w:r>
            <w:r>
              <w:rPr>
                <w:rFonts w:hint="eastAsia" w:ascii="仿宋" w:hAnsi="仿宋" w:eastAsia="仿宋" w:cs="仿宋"/>
                <w:i w:val="0"/>
                <w:iCs w:val="0"/>
                <w:color w:val="000000"/>
                <w:kern w:val="0"/>
                <w:sz w:val="21"/>
                <w:szCs w:val="21"/>
                <w:highlight w:val="none"/>
                <w:u w:val="none"/>
                <w:lang w:val="en-US" w:eastAsia="zh-CN" w:bidi="ar"/>
              </w:rPr>
              <w:t>IK10。</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7E17064D">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1169</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7D1CBB2B">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6833A0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2"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63847947">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01171076">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枪式智能摄像头  POE（400W人脸抓拍）</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5CADA773">
            <w:pPr>
              <w:keepNext w:val="0"/>
              <w:keepLines w:val="0"/>
              <w:pageBreakBefore w:val="0"/>
              <w:widowControl/>
              <w:numPr>
                <w:ilvl w:val="0"/>
                <w:numId w:val="0"/>
              </w:numPr>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1.像素：≥400万，智能网络摄像机，图像传感器≥1/1.8英寸，最大分辨率和帧率≥2560×1440、25帧/秒，支持H.265/H.264编码，内置电动变焦镜头，电动变焦范围不低于3-13mm，最低照度需满足彩色≤0.0005  lx，黑白≤0.0001  lx；</w:t>
            </w:r>
          </w:p>
          <w:p w14:paraId="3E97BB77">
            <w:pPr>
              <w:keepNext w:val="0"/>
              <w:keepLines w:val="0"/>
              <w:pageBreakBefore w:val="0"/>
              <w:widowControl/>
              <w:numPr>
                <w:ilvl w:val="0"/>
                <w:numId w:val="0"/>
              </w:numPr>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2.支持≥3种智能资源切换，至少包括：人脸抓拍、车辆抓拍，人脸抓拍支持同时检测≥30张人脸，车辆抓拍支持检测正向或逆向行驶的车辆以及行人和非机动车，自动对车辆牌照进行识别，支持抓拍无车牌的车辆图片；</w:t>
            </w:r>
          </w:p>
          <w:p w14:paraId="3E389C59">
            <w:pPr>
              <w:keepNext w:val="0"/>
              <w:keepLines w:val="0"/>
              <w:pageBreakBefore w:val="0"/>
              <w:widowControl/>
              <w:numPr>
                <w:ilvl w:val="0"/>
                <w:numId w:val="0"/>
              </w:numPr>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3.补光灯开启后，正面应不可见补光灯灯珠，补光均匀，无波纹状、圆环状、麻点状、条纹状及不规则亮斑；</w:t>
            </w:r>
          </w:p>
          <w:p w14:paraId="71FC414C">
            <w:pPr>
              <w:keepNext w:val="0"/>
              <w:keepLines w:val="0"/>
              <w:pageBreakBefore w:val="0"/>
              <w:widowControl/>
              <w:numPr>
                <w:ilvl w:val="0"/>
                <w:numId w:val="0"/>
              </w:numPr>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4.内置GPU或含GPU的多合一芯片，内置≥2个麦克风、1个扬声器，支持双麦克风声音采集，支持左右声道编码，至少支持选择左声道、右声道、立体声播放声音；</w:t>
            </w:r>
          </w:p>
          <w:p w14:paraId="501C097F">
            <w:pPr>
              <w:keepNext w:val="0"/>
              <w:keepLines w:val="0"/>
              <w:pageBreakBefore w:val="0"/>
              <w:widowControl/>
              <w:numPr>
                <w:ilvl w:val="0"/>
                <w:numId w:val="0"/>
              </w:numPr>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5.支持人数统计功能，支持设置≥8个人数统计区域，支持自定义区域名称，支持人员密度报警、人数异常报警、停留时间异常报警等报警类型，每个人数统计区域支持设置≥3种报警类型；</w:t>
            </w:r>
          </w:p>
          <w:p w14:paraId="679EC3E7">
            <w:pPr>
              <w:keepNext w:val="0"/>
              <w:keepLines w:val="0"/>
              <w:pageBreakBefore w:val="0"/>
              <w:widowControl/>
              <w:numPr>
                <w:ilvl w:val="0"/>
                <w:numId w:val="0"/>
              </w:numPr>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6.支持同时对不同速度、明亮度、反光度的行人、非机动车、机动车分类曝光，支持实时检测、跟踪、抓拍行进的行人人脸、人体、非机动车及车上人员、机动车车牌、机动车，支持识别人脸及车牌号码，抓拍的人脸和车牌号码图片应清晰可辨，无过曝、过暗情况；</w:t>
            </w:r>
          </w:p>
          <w:p w14:paraId="4524A2CE">
            <w:pPr>
              <w:keepNext w:val="0"/>
              <w:keepLines w:val="0"/>
              <w:pageBreakBefore w:val="0"/>
              <w:widowControl/>
              <w:numPr>
                <w:ilvl w:val="0"/>
                <w:numId w:val="0"/>
              </w:numPr>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4"/>
                <w:szCs w:val="24"/>
                <w:highlight w:val="none"/>
                <w:u w:val="none"/>
                <w:lang w:val="en-US" w:eastAsia="zh-CN" w:bidi="ar"/>
              </w:rPr>
              <w:t>▲</w:t>
            </w:r>
            <w:r>
              <w:rPr>
                <w:rFonts w:hint="eastAsia" w:ascii="仿宋" w:hAnsi="仿宋" w:eastAsia="仿宋" w:cs="仿宋"/>
                <w:i w:val="0"/>
                <w:iCs w:val="0"/>
                <w:color w:val="000000"/>
                <w:kern w:val="0"/>
                <w:sz w:val="21"/>
                <w:szCs w:val="21"/>
                <w:highlight w:val="none"/>
                <w:u w:val="none"/>
                <w:lang w:val="en-US" w:eastAsia="zh-CN" w:bidi="ar"/>
              </w:rPr>
              <w:t>7.支持PoE供电，具有DC12V电源输出接口，具有≥1个存储卡插槽、≥2个音频输入接口、≥1个音频输出接口、≥2对报警输入输出接口，内置红外补光灯，红外补光距离≥30米，防护等级</w:t>
            </w:r>
            <w:r>
              <w:rPr>
                <w:rFonts w:hint="eastAsia" w:ascii="仿宋" w:hAnsi="仿宋" w:eastAsia="仿宋" w:cs="仿宋"/>
                <w:highlight w:val="none"/>
                <w:lang w:val="en-US" w:eastAsia="zh-CN"/>
              </w:rPr>
              <w:t>≥</w:t>
            </w:r>
            <w:r>
              <w:rPr>
                <w:rFonts w:hint="eastAsia" w:ascii="仿宋" w:hAnsi="仿宋" w:eastAsia="仿宋" w:cs="仿宋"/>
                <w:i w:val="0"/>
                <w:iCs w:val="0"/>
                <w:color w:val="000000"/>
                <w:kern w:val="0"/>
                <w:sz w:val="21"/>
                <w:szCs w:val="21"/>
                <w:highlight w:val="none"/>
                <w:u w:val="none"/>
                <w:lang w:val="en-US" w:eastAsia="zh-CN" w:bidi="ar"/>
              </w:rPr>
              <w:t>IP66。</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4702FF9E">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1169</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1EAD356F">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69D862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4"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1A8BFF05">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4874135F">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球型云台摄像头（400W）</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553E02C2">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1.像素：≥400万，智能网络摄像机，最大图像尺寸</w:t>
            </w:r>
            <w:r>
              <w:rPr>
                <w:rFonts w:hint="eastAsia" w:ascii="仿宋" w:hAnsi="仿宋" w:eastAsia="仿宋" w:cs="仿宋"/>
                <w:highlight w:val="none"/>
                <w:lang w:val="en-US" w:eastAsia="zh-CN"/>
              </w:rPr>
              <w:t>≥</w:t>
            </w:r>
            <w:r>
              <w:rPr>
                <w:rFonts w:hint="eastAsia" w:ascii="仿宋" w:hAnsi="仿宋" w:eastAsia="仿宋" w:cs="仿宋"/>
                <w:i w:val="0"/>
                <w:iCs w:val="0"/>
                <w:color w:val="000000"/>
                <w:kern w:val="0"/>
                <w:sz w:val="21"/>
                <w:szCs w:val="21"/>
                <w:highlight w:val="none"/>
                <w:u w:val="none"/>
                <w:lang w:val="en-US" w:eastAsia="zh-CN" w:bidi="ar"/>
              </w:rPr>
              <w:t>2560×1440</w:t>
            </w:r>
          </w:p>
          <w:p w14:paraId="3D412BC2">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2.焦距4.8 mm~120 mm，25倍光学变倍</w:t>
            </w:r>
          </w:p>
          <w:p w14:paraId="088BE934">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3.视场角：水平视场角：55°~2.65°（广角~望远） 垂直视场角：33°~1.50°（广角~望远） 对角视场角：61.5°~3.03°（广角~望远）</w:t>
            </w:r>
          </w:p>
          <w:p w14:paraId="25ADB14D">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4.最大光圈数：F1.6</w:t>
            </w:r>
          </w:p>
          <w:p w14:paraId="345C1DFD">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5.传感器类型：1/2.8＂ progressive scan CMOS</w:t>
            </w:r>
          </w:p>
          <w:p w14:paraId="13EB81A5">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6.最低照度：彩色：0.005Lux @ (F1.6，AGC ON)；黑白：0.001Lux @(F1.6，AGC ON) ；0 Lux with IR</w:t>
            </w:r>
          </w:p>
          <w:p w14:paraId="1E32B06C">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7.防护等级</w:t>
            </w:r>
            <w:r>
              <w:rPr>
                <w:rFonts w:hint="eastAsia" w:ascii="仿宋" w:hAnsi="仿宋" w:eastAsia="仿宋" w:cs="仿宋"/>
                <w:highlight w:val="none"/>
                <w:lang w:val="en-US" w:eastAsia="zh-CN"/>
              </w:rPr>
              <w:t>≥</w:t>
            </w:r>
            <w:r>
              <w:rPr>
                <w:rFonts w:hint="eastAsia" w:ascii="仿宋" w:hAnsi="仿宋" w:eastAsia="仿宋" w:cs="仿宋"/>
                <w:i w:val="0"/>
                <w:iCs w:val="0"/>
                <w:color w:val="000000"/>
                <w:kern w:val="0"/>
                <w:sz w:val="21"/>
                <w:szCs w:val="21"/>
                <w:highlight w:val="none"/>
                <w:u w:val="none"/>
                <w:lang w:val="en-US" w:eastAsia="zh-CN" w:bidi="ar"/>
              </w:rPr>
              <w:t>IP66，符合《电磁兼容 试验和测量技术 浪涌（冲击）抗扰度试验》（GB/T17626.5-2019）认证标准</w:t>
            </w:r>
          </w:p>
          <w:p w14:paraId="28CFCBA3">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8.SD卡扩展</w:t>
            </w:r>
          </w:p>
          <w:p w14:paraId="592094C4">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支持MicroSD/MicroSDHC/MicroSDXC卡，最大支持512 GB</w:t>
            </w:r>
          </w:p>
          <w:p w14:paraId="0E748B8B">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9.最大取流路数：6路</w:t>
            </w:r>
          </w:p>
          <w:p w14:paraId="1E85C435">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10.用户管理：32个</w:t>
            </w:r>
          </w:p>
          <w:p w14:paraId="75BB5015">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11.安全管理：授权的用户名和密码;以及MAC地址绑定;HTTPS加密;IEEE 802.1x网络访问控制;IP地址过滤</w:t>
            </w:r>
          </w:p>
          <w:p w14:paraId="0D55239D">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12.补光灯类型</w:t>
            </w:r>
          </w:p>
          <w:p w14:paraId="6A1806D5">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支持红外，白光补光</w:t>
            </w:r>
          </w:p>
          <w:p w14:paraId="4FEC7068">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13.补光灯距离，红外：</w:t>
            </w:r>
            <w:r>
              <w:rPr>
                <w:rFonts w:hint="eastAsia" w:ascii="仿宋" w:hAnsi="仿宋" w:eastAsia="仿宋" w:cs="仿宋"/>
                <w:highlight w:val="none"/>
                <w:lang w:val="en-US" w:eastAsia="zh-CN"/>
              </w:rPr>
              <w:t>≥</w:t>
            </w:r>
            <w:r>
              <w:rPr>
                <w:rFonts w:hint="eastAsia" w:ascii="仿宋" w:hAnsi="仿宋" w:eastAsia="仿宋" w:cs="仿宋"/>
                <w:i w:val="0"/>
                <w:iCs w:val="0"/>
                <w:color w:val="000000"/>
                <w:kern w:val="0"/>
                <w:sz w:val="21"/>
                <w:szCs w:val="21"/>
                <w:highlight w:val="none"/>
                <w:u w:val="none"/>
                <w:lang w:val="en-US" w:eastAsia="zh-CN" w:bidi="ar"/>
              </w:rPr>
              <w:t>150 m，白光：</w:t>
            </w:r>
            <w:r>
              <w:rPr>
                <w:rFonts w:hint="eastAsia" w:ascii="仿宋" w:hAnsi="仿宋" w:eastAsia="仿宋" w:cs="仿宋"/>
                <w:highlight w:val="none"/>
                <w:lang w:val="en-US" w:eastAsia="zh-CN"/>
              </w:rPr>
              <w:t>≥</w:t>
            </w:r>
            <w:r>
              <w:rPr>
                <w:rFonts w:hint="eastAsia" w:ascii="仿宋" w:hAnsi="仿宋" w:eastAsia="仿宋" w:cs="仿宋"/>
                <w:i w:val="0"/>
                <w:iCs w:val="0"/>
                <w:color w:val="000000"/>
                <w:kern w:val="0"/>
                <w:sz w:val="21"/>
                <w:szCs w:val="21"/>
                <w:highlight w:val="none"/>
                <w:u w:val="none"/>
                <w:lang w:val="en-US" w:eastAsia="zh-CN" w:bidi="ar"/>
              </w:rPr>
              <w:t>100 m</w:t>
            </w:r>
          </w:p>
          <w:p w14:paraId="40520150">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14.供电方式DC36V;PoE+(802.3at)</w:t>
            </w:r>
          </w:p>
          <w:p w14:paraId="4390C827">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15.电流及功耗</w:t>
            </w:r>
          </w:p>
          <w:p w14:paraId="1C3EDECB">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最大功耗：24 W（其中除雾加热1.6W，补光灯9W）</w:t>
            </w:r>
          </w:p>
          <w:p w14:paraId="27DAB6F8">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16.工作温湿度：-30℃-65℃;湿度≤90%;(无凝结)</w:t>
            </w:r>
          </w:p>
          <w:p w14:paraId="570D916F">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17.除雾：加热玻璃除雾</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3DBBFFBE">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2344</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2C8E28D8">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5223D4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9"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7EAB7B53">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57159A49">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POE交换机 5口</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0207709D">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工业级监控，5 个千兆网口，其中 POE 供电口≥4 个，符合 IEEE802.3af/at 标准，单口 POE 功率≤30W，整机 POE 功率≤60W，支持即插即用，无风扇静音设计，具备端口防雷、过载保护，背板带宽≥10Gbps，包转发率≥7.44Mpps，适配监控组网</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6B702239">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320</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4ED0D7A4">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1573DE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6"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48C02298">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30EA2306">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POE交换机 8口</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3A3409EA">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工业级监控，8 个千兆网口，POE 供电口≥8 个，IEEE802.3af/at 标准，单口 30W，整机 POE 功率≤150W，背板带宽≥16Gbps，包转发率≥11.9Mpps，支持 VLAN 隔离、端口汇聚，防雷防静电，工业级宽温设计（-10℃~60℃）</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25D7297E">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462</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19611F2E">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33E930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6"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0B1BC7F1">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5EBB1C47">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POE交换机  16口</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7123F307">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工业级监控，16 个千兆网口，全口 POE 供电，IEEE802.3af/at，单口 30W，整机 POE 功率≤370W，背板带宽≥32Gbps，包转发率≥23.8Mpps，支持 WEB 管理、VLAN、QoS，具备端口镜像、故障报警，防雷等级≥6KV</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447BFA54">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976</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29B3BE7C">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697B6E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6"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5C1E25EC">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4AD3BF43">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POE交换机  24口</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2509E3C1">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工业级监控，24 个千兆网口，全口 POE 供电，IEEE802.3af/at 标准，单口 30W，整机 POE 功率≤480W，背板带宽≥48Gbps，包转发率≥35.7Mpps，支持二层管理、DHCP Snooping，冗余电源输入，防雷防静电，适配大中型监控组网</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1C720CE3">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1330</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14AC5BF5">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575019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0B8AE19D">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73EBAE84">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交换机 5口</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183FABD8">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5 个千兆电口，非 POE，背板带宽≥10Gbps，包转发率≥7.44Mpps，即插即用，无风扇设计，金属外壳，支持 MAC 地址自学习，端口防雷，适用于小型网络分接</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250261FC">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70</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10592CB8">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3EE049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9"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66A458E1">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43F41F10">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交换机 8口</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563DE7B6">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8 个千兆电口，非 POE，背板带宽≥16Gbps，包转发率≥11.9Mpps，支持 VLAN 划分，MAC 地址表≥8K，即插即用，工业级宽温，适配室内网络组网</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255A7D57">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300</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4A8A97A9">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17CE0B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4"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6D9E1EB6">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4F7A01A8">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Style w:val="30"/>
                <w:rFonts w:hint="eastAsia" w:ascii="仿宋" w:hAnsi="仿宋" w:eastAsia="仿宋" w:cs="仿宋"/>
                <w:sz w:val="21"/>
                <w:szCs w:val="21"/>
                <w:highlight w:val="none"/>
                <w:lang w:val="en-US" w:eastAsia="zh-CN" w:bidi="ar"/>
              </w:rPr>
              <w:t>交换机  16口</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3BE588DD">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16 个千兆电口，非 POE，背板带宽≥32Gbps，包转发率≥23.8Mpps，支持 WEB 简易管理，VLAN、QoS、端口汇聚，MAC 地址表≥16K，防雷 6KV，机架式安装</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5A7125C5">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720</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5D9768AE">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730166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4"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179236BD">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410362E3">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交换机 24口</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39A83CA4">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24 个千兆电口，非 POE，背板带宽≥48Gbps，包转发率≥35.7Mpps，二层网管型，支持 VLAN、DHCP Snooping、端口镜像，MAC 地址表≥32K，机架式，冗余散热，适配企业级网络组网</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1E95DA05">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800</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44C310B3">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17852D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6"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6B29FC78">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0764CFAF">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门禁控制器 单门</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464B5FF1">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支持单门双向刷卡 / 密码 / 人脸开门，通讯方式支持 TCP/IP+RS485，门禁记录存储≥10万条，支持实时监控、远程开门、权限管理，可联动报警，联动消防报警（断电开门），工作电压 DC12V，具备防拆、防短路保护，兼容主流读卡器协议</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5CCFE679">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813</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51B93BA3">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647D01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4"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776A79E5">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2797CC47">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门禁控制器 双门</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66EE66C3">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支持双门双向门禁管理，TCP/IP+RS485 通讯，存储记录≥20 万条，支持多权限组划分、时段开门、节假日管理，联动消防报警（断电开门），DC12V 供电，防拆报警，兼容韦根 26/34 协议</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3E68DE97">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1181</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07DDEBB9">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7E0FA8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6"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1BBEEF96">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58FC370E">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门禁控制器 四门</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400151A0">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支持四门单向 / 双向门禁控制，TCP/IP+RS485 双通讯，存储记录≥50 万条，支持级联扩展，多用户权限管理，实时状态反馈，DC12V 供电，具备过流、过压保护，联动消防报警（断电开门），兼容多种读卡器协议</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61A9F6A8">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1200</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2C21F070">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1DE238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7DC77578">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31D48F49">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单门磁力锁</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2EC869F1">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适配单扇门，开锁力≥280kg，工作电压 DC12V，通电上锁、断电开锁，具备门磁检测功能，防残磁设计，铝合金外壳，防水防锈，适配木门、铁门、玻璃门，安装方式多样（表面 / 嵌入式）</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1EE7459E">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133</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62E7ABF5">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38F965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4"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0F4AF9AF">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44CF1B8F">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双门磁力锁</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7FD2E18A">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适配双扇门，单锁体开锁力≥280kg，总开锁力≥560kg，DC12V/24V 可选，断电开锁，门磁反馈，防残磁技术，不锈钢材质，防水等级</w:t>
            </w:r>
            <w:r>
              <w:rPr>
                <w:rFonts w:hint="eastAsia" w:ascii="仿宋" w:hAnsi="仿宋" w:eastAsia="仿宋" w:cs="仿宋"/>
                <w:highlight w:val="none"/>
                <w:lang w:val="en-US" w:eastAsia="zh-CN"/>
              </w:rPr>
              <w:t>≥</w:t>
            </w:r>
            <w:r>
              <w:rPr>
                <w:rFonts w:hint="eastAsia" w:ascii="仿宋" w:hAnsi="仿宋" w:eastAsia="仿宋" w:cs="仿宋"/>
                <w:i w:val="0"/>
                <w:iCs w:val="0"/>
                <w:color w:val="000000"/>
                <w:kern w:val="0"/>
                <w:sz w:val="21"/>
                <w:szCs w:val="21"/>
                <w:highlight w:val="none"/>
                <w:u w:val="none"/>
                <w:lang w:val="en-US" w:eastAsia="zh-CN" w:bidi="ar"/>
              </w:rPr>
              <w:t xml:space="preserve"> IP65，支持双门同步控制</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3F3F316E">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264</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7DE31A7F">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7B8E80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7"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5C74861C">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7234790B">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电插锁</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2208F10F">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DC12V 供电，通电开锁、断电上锁，锁舌伸缩顺畅，具备状态反馈（门磁），延时关门调节（0-10 秒），防撬报警，不锈钢锁体，防尘防水≥IP54，适配玻璃门（无框 / 有框），低功耗设计</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564B446D">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207</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4156241F">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56D6D6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6"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1D85E9F2">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688161BD">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读卡器（需要带指纹）</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3A9139EC">
            <w:pPr>
              <w:keepNext w:val="0"/>
              <w:keepLines w:val="0"/>
              <w:pageBreakBefore w:val="0"/>
              <w:widowControl/>
              <w:suppressLineNumbers w:val="0"/>
              <w:kinsoku/>
              <w:wordWrap/>
              <w:overflowPunct/>
              <w:topLinePunct w:val="0"/>
              <w:autoSpaceDE/>
              <w:autoSpaceDN/>
              <w:bidi w:val="0"/>
              <w:adjustRightInd w:val="0"/>
              <w:snapToGrid w:val="0"/>
              <w:spacing w:line="520" w:lineRule="exact"/>
              <w:jc w:val="both"/>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支持指纹识别 + 刷卡（IC/ID 卡），指纹识别时间≤1 秒，识别率≥99.5%，指纹存储容量≥1000 枚，卡容量≥2000 张，支持韦根 26/34 协议，DC12V 供电，防水等级</w:t>
            </w:r>
            <w:r>
              <w:rPr>
                <w:rFonts w:hint="eastAsia" w:ascii="仿宋" w:hAnsi="仿宋" w:eastAsia="仿宋" w:cs="仿宋"/>
                <w:highlight w:val="none"/>
                <w:lang w:val="en-US" w:eastAsia="zh-CN"/>
              </w:rPr>
              <w:t>≥</w:t>
            </w:r>
            <w:r>
              <w:rPr>
                <w:rFonts w:hint="eastAsia" w:ascii="仿宋" w:hAnsi="仿宋" w:eastAsia="仿宋" w:cs="仿宋"/>
                <w:i w:val="0"/>
                <w:iCs w:val="0"/>
                <w:color w:val="000000"/>
                <w:kern w:val="0"/>
                <w:sz w:val="21"/>
                <w:szCs w:val="21"/>
                <w:highlight w:val="none"/>
                <w:u w:val="none"/>
                <w:lang w:val="en-US" w:eastAsia="zh-CN" w:bidi="ar"/>
              </w:rPr>
              <w:t>IP65，防拆报警，适配室内外门禁</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21E3E5C8">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775</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2B7986AA">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07DAC9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6"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0FB102FA">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01BC5114">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读卡器（需要带密码键盘）</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01B1C9C1">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支持密码 + 刷卡（IC/ID 卡），密码位数 4-8 位，卡存储≥5000 张，防窥密码输入，支持韦根 26/34 协议，DC12V 供电，金属键盘防暴，防尘防水</w:t>
            </w:r>
            <w:r>
              <w:rPr>
                <w:rFonts w:hint="eastAsia" w:ascii="仿宋" w:hAnsi="仿宋" w:eastAsia="仿宋" w:cs="仿宋"/>
                <w:highlight w:val="none"/>
                <w:lang w:val="en-US" w:eastAsia="zh-CN"/>
              </w:rPr>
              <w:t>≥</w:t>
            </w:r>
            <w:r>
              <w:rPr>
                <w:rFonts w:hint="eastAsia" w:ascii="仿宋" w:hAnsi="仿宋" w:eastAsia="仿宋" w:cs="仿宋"/>
                <w:i w:val="0"/>
                <w:iCs w:val="0"/>
                <w:color w:val="000000"/>
                <w:kern w:val="0"/>
                <w:sz w:val="21"/>
                <w:szCs w:val="21"/>
                <w:highlight w:val="none"/>
                <w:u w:val="none"/>
                <w:lang w:val="en-US" w:eastAsia="zh-CN" w:bidi="ar"/>
              </w:rPr>
              <w:t>IP65 ，支持刷卡 + 密码、单独刷卡、单独密码三种开门方式</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0A1AC9EF">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571</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7E8F72D8">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59B24F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2"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2659F7E7">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08787134">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人脸识别面板（人脸一体机）</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595329FA">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人脸识别距离 0.5-3 米，识别时间≤0.3 秒，准确率≥99.8%，人脸库容量≥5000 张，支持刷卡 / 密码 / 人脸多重验证，TCP/IP 通讯，DC12V 供电，防水等级</w:t>
            </w:r>
            <w:r>
              <w:rPr>
                <w:rFonts w:hint="eastAsia" w:ascii="仿宋" w:hAnsi="仿宋" w:eastAsia="仿宋" w:cs="仿宋"/>
                <w:highlight w:val="none"/>
                <w:lang w:val="en-US" w:eastAsia="zh-CN"/>
              </w:rPr>
              <w:t>≥</w:t>
            </w:r>
            <w:r>
              <w:rPr>
                <w:rFonts w:hint="eastAsia" w:ascii="仿宋" w:hAnsi="仿宋" w:eastAsia="仿宋" w:cs="仿宋"/>
                <w:i w:val="0"/>
                <w:iCs w:val="0"/>
                <w:color w:val="000000"/>
                <w:kern w:val="0"/>
                <w:sz w:val="21"/>
                <w:szCs w:val="21"/>
                <w:highlight w:val="none"/>
                <w:u w:val="none"/>
                <w:lang w:val="en-US" w:eastAsia="zh-CN" w:bidi="ar"/>
              </w:rPr>
              <w:t>IP65 ，具备活体检测（防照片 / 视频攻击），门磁、韦根输出，可联动门禁控制器</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1373DDFF">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1680</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409E3A1C">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31ED94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9"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6A12890F">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085DF5D0">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可视对讲室内机</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6970BA45">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4"/>
                <w:szCs w:val="24"/>
                <w:highlight w:val="none"/>
                <w:u w:val="none"/>
                <w:lang w:val="en-US" w:eastAsia="zh-CN" w:bidi="ar"/>
              </w:rPr>
              <w:t>▲</w:t>
            </w:r>
            <w:r>
              <w:rPr>
                <w:rFonts w:hint="eastAsia" w:ascii="仿宋" w:hAnsi="仿宋" w:eastAsia="仿宋" w:cs="仿宋"/>
                <w:highlight w:val="none"/>
                <w:lang w:val="en-US" w:eastAsia="zh-CN"/>
              </w:rPr>
              <w:t>≥</w:t>
            </w:r>
            <w:r>
              <w:rPr>
                <w:rFonts w:hint="eastAsia" w:ascii="仿宋" w:hAnsi="仿宋" w:eastAsia="仿宋" w:cs="仿宋"/>
                <w:i w:val="0"/>
                <w:iCs w:val="0"/>
                <w:color w:val="000000"/>
                <w:kern w:val="0"/>
                <w:sz w:val="21"/>
                <w:szCs w:val="21"/>
                <w:highlight w:val="none"/>
                <w:u w:val="none"/>
                <w:lang w:val="en-US" w:eastAsia="zh-CN" w:bidi="ar"/>
              </w:rPr>
              <w:t>7 英寸高清彩屏（分辨率≥1024*600），支持可视通话、开锁、监视门口机，免提对讲，铃声调节，夜视补光，可联动室内门铃，DC12V 供电，支持多户联网，具备留言、抓拍功能，壁挂式安装</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2667FA3A">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433</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2EC31C31">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229685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1"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02412FDB">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left"/>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3997ACCC">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可视对讲室外机</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480E8993">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 xml:space="preserve">高清摄像头（≥200 万像素），红外夜视，防水等级 </w:t>
            </w:r>
            <w:r>
              <w:rPr>
                <w:rFonts w:hint="eastAsia" w:ascii="仿宋" w:hAnsi="仿宋" w:eastAsia="仿宋" w:cs="仿宋"/>
                <w:highlight w:val="none"/>
                <w:lang w:val="en-US" w:eastAsia="zh-CN"/>
              </w:rPr>
              <w:t>≥</w:t>
            </w:r>
            <w:r>
              <w:rPr>
                <w:rFonts w:hint="eastAsia" w:ascii="仿宋" w:hAnsi="仿宋" w:eastAsia="仿宋" w:cs="仿宋"/>
                <w:i w:val="0"/>
                <w:iCs w:val="0"/>
                <w:color w:val="000000"/>
                <w:kern w:val="0"/>
                <w:sz w:val="21"/>
                <w:szCs w:val="21"/>
                <w:highlight w:val="none"/>
                <w:u w:val="none"/>
                <w:lang w:val="en-US" w:eastAsia="zh-CN" w:bidi="ar"/>
              </w:rPr>
              <w:t>IP67，支持刷卡 / 密码 / 人脸识别开门，可视通话，防拆报警，DC12V 供电，铝合金外壳，耐高低温，适配单元门口安装，支持与室内机、管理机联动</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69626B0A">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1560</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579852E6">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237101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1"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5C4BA381">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0983CE79">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可视对讲室内机（安装支架）</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612B937D">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适配对应型号室内机，金属 / ABS 材质，坚固耐用，壁挂式设计，安装孔位精准，可调角度，附带固定螺丝配件，表面防刮，适配室内墙面安装</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0ED368E1">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38</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41E829ED">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2B72F0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1"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19C3BB2E">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303E49EE">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可视对讲室外机（安装支架）</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1A5BD101">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不锈钢材质，防锈防水，适配对应型号室外机，安装孔位匹配，承重≥5kg，可调安装角度，附带膨胀螺丝，适配单元门口墙体 / 立柱安装</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7C4B495B">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78</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0E592071">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517422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1"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0BBC18E0">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6FE8401E">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磁力锁安装支架（L型）</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7929E05E">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L 型金属材质（冷轧钢），表面喷塑防锈，适配单门磁力锁，承重≥300kg，安装孔位精准，附带螺丝、垫片配件，可调节安装间距，适配木门 / 铁门安装</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403A286C">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36</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1E2439D0">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021DEA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1"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449B1EC4">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74291882">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磁力锁安装支架（e型）</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0AC38CBB">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E 型冷轧钢材质，喷塑处理，适配双门磁力锁，承重≥600kg，精准孔位，附带全套安装配件，可嵌入式 / 表面安装，适配玻璃门 / 金属门</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47FBC363">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70</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17142CC2">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3680E6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1"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48614DDD">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26AEFC8C">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磁力锁安装支架（定制型）</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66CA856D">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根据现场门体尺寸 / 材质定制，冷轧钢 / 不锈钢材质，防锈防水，承重按需设计（≥280kg），孔位精准匹配定制磁力锁，附带全套安装配件，支持特殊门体（弧形门、超宽门）安装</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21A163F1">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107</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43495A01">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6685E8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1"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52A38226">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16B645D8">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复合卡</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50828BDD">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IC+ID 复合芯片，非接触式感应，感应距离 3-5cm，防水防折，卡面可定制印刷，符合 《</w:t>
            </w:r>
            <w:r>
              <w:rPr>
                <w:rFonts w:hint="eastAsia" w:ascii="仿宋" w:hAnsi="仿宋" w:eastAsia="仿宋" w:cs="仿宋"/>
                <w:color w:val="000000"/>
                <w:kern w:val="0"/>
                <w:szCs w:val="21"/>
                <w:highlight w:val="none"/>
                <w:lang w:bidi="ar"/>
              </w:rPr>
              <w:t>近场非接触卡标准</w:t>
            </w:r>
            <w:r>
              <w:rPr>
                <w:rFonts w:hint="eastAsia" w:ascii="仿宋" w:hAnsi="仿宋" w:eastAsia="仿宋" w:cs="仿宋"/>
                <w:color w:val="000000"/>
                <w:kern w:val="0"/>
                <w:szCs w:val="21"/>
                <w:highlight w:val="none"/>
                <w:lang w:eastAsia="zh-CN" w:bidi="ar"/>
              </w:rPr>
              <w:t>》</w:t>
            </w:r>
            <w:r>
              <w:rPr>
                <w:rFonts w:hint="eastAsia" w:ascii="仿宋" w:hAnsi="仿宋" w:eastAsia="仿宋" w:cs="仿宋"/>
                <w:i w:val="0"/>
                <w:iCs w:val="0"/>
                <w:color w:val="000000"/>
                <w:kern w:val="0"/>
                <w:sz w:val="21"/>
                <w:szCs w:val="21"/>
                <w:highlight w:val="none"/>
                <w:u w:val="none"/>
                <w:lang w:val="en-US" w:eastAsia="zh-CN" w:bidi="ar"/>
              </w:rPr>
              <w:t>（ISO14443A）、《</w:t>
            </w:r>
            <w:r>
              <w:rPr>
                <w:rFonts w:hint="eastAsia" w:ascii="仿宋" w:hAnsi="仿宋" w:eastAsia="仿宋" w:cs="仿宋"/>
                <w:color w:val="000000"/>
                <w:kern w:val="0"/>
                <w:sz w:val="21"/>
                <w:szCs w:val="21"/>
                <w:highlight w:val="none"/>
                <w:lang w:bidi="ar"/>
              </w:rPr>
              <w:t>识别卡非接触式集成电路卡邻近卡</w:t>
            </w:r>
            <w:r>
              <w:rPr>
                <w:rFonts w:hint="eastAsia" w:ascii="仿宋" w:hAnsi="仿宋" w:eastAsia="仿宋" w:cs="仿宋"/>
                <w:color w:val="000000"/>
                <w:kern w:val="0"/>
                <w:sz w:val="21"/>
                <w:szCs w:val="21"/>
                <w:highlight w:val="none"/>
                <w:lang w:eastAsia="zh-CN" w:bidi="ar"/>
              </w:rPr>
              <w:t>》</w:t>
            </w:r>
            <w:r>
              <w:rPr>
                <w:rFonts w:hint="eastAsia" w:ascii="仿宋" w:hAnsi="仿宋" w:eastAsia="仿宋" w:cs="仿宋"/>
                <w:i w:val="0"/>
                <w:iCs w:val="0"/>
                <w:color w:val="000000"/>
                <w:kern w:val="0"/>
                <w:sz w:val="21"/>
                <w:szCs w:val="21"/>
                <w:highlight w:val="none"/>
                <w:u w:val="none"/>
                <w:lang w:val="en-US" w:eastAsia="zh-CN" w:bidi="ar"/>
              </w:rPr>
              <w:t>（ISO15693） 标准，适用于门禁、考勤、可视对讲刷卡</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72B777C3">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9</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7F106092">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6F8E0A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1"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6D579DB8">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3DDB69C5">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开门按钮</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20D40AAB">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自复位式，按压开门，触点容量≥10A/250VAC，DC12V/24V 兼容，ABS / 金属外壳，防水等级≥IP65（室外款）/IP40（室内款），86 底盒安装，适配门禁系统</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65B17070">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27</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0AF5748E">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4AC3B8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1"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2E556FC6">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2C546F5C">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有线报警按钮</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1C8C3F8B">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紧急手动报警，常闭 / 常开触点可选，DC12V/24V 供电，ABS 防爆外壳，86 底盒安装，按压触发报警，可联动报警主机，具备防拆保护（现用设备为海康威视）</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7068C073">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20</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62046A15">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48B35F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1"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53888BC4">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2BD2AC15">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无线报警按键专用电池</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75D5B31D">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锂电池（ER18505），电压 3.6V，容量≥4000mAh，适配无线报警按键，低功耗长续航（使用时间≥1 年），防漏液，耐高温，柱式封装适配对应按键型号</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1C0F024E">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20</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1FBEA9C2">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589D72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1"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36BDA4AB">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2803C9E7">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无线报警按键（晋阳、抚琴）</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32A605CB">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报警系统，无线射频通讯（433MHz），有效传输距离≥1000米（室内）/≥100 米（室外），一键触发报警，低电提醒，ABS 防水外壳，搭配专用 3.6V 电池，可联动报警主机（现用设备为科立富）</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1D4E648B">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182</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6E7D23CD">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553B7B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1"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0667FCDD">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145B0E0A">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无线报警中继器</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42A24663">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接收并转发无线报警信号，通讯频率 433MHz，中继距离≥100 米，可级联扩展，DC12V 供电，具备信号强度指示，金属外壳，防雷防静电，适配无线报警系统组网，提升信号覆盖范围（现用设备为科立富）</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3210D38F">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1609</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65F3F419">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2175E7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1"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5EA8F6B1">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7FE45D67">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监控级硬盘 8T</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2872F28B">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容量 8TB，5400/7200 转可选，缓存≥256MB，SATA3.0 接口，监控级专用（7×24 小时工作），MTBF≥180 万小时，支持 RAID，抗震动、低功耗，适配硬盘录像机 / 存储服务器</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6B5B0D19">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3999</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43C7914D">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7F229A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1"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2FCD17DA">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128260BB">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安防平台监控点扩容</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19D845D0">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支持原有安防平台监控点位数量扩展，兼容平台原有协议（ONVIF/GB28181），扩容点位支持 400 万像素高清接入，具备点位权限管理、视频集中存储 / 回放，联动平台报警、分析功能，无缝对接原有平台，不影响现有系统运行</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301AE67E">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50</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64128301">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1DFE00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4"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3C4EBA67">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7C10F362">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无线网桥</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60D0E59C">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支持电梯专用≥200米无线网桥，支持数码显示屏，可显示工作模式和信道等信息，支持 POE 供电，防雷 6KV，适配室外监控无线组网</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3F81011B">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818</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0B7860A2">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5DE020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1" w:hRule="atLeast"/>
        </w:trPr>
        <w:tc>
          <w:tcPr>
            <w:tcW w:w="250" w:type="pct"/>
            <w:tcBorders>
              <w:top w:val="single" w:color="000000" w:sz="4" w:space="0"/>
              <w:left w:val="single" w:color="000000" w:sz="4" w:space="0"/>
              <w:bottom w:val="single" w:color="000000" w:sz="4" w:space="0"/>
              <w:right w:val="single" w:color="000000" w:sz="4" w:space="0"/>
            </w:tcBorders>
            <w:shd w:val="clear" w:color="auto" w:fill="FFFF00"/>
            <w:noWrap w:val="0"/>
            <w:vAlign w:val="center"/>
          </w:tcPr>
          <w:p w14:paraId="0C3F6D44">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5FEBA5C8">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PT半球支架</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6ED0E7BD">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铝合金材质，防锈防刮，适配半球式摄像头，360° 旋转可调，水平 / 垂直角度调节，承重≥10kg，壁挂 / 吸顶安装，附带固定配件，适配室内外半球摄像头</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527EE81E">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43</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5FA686E1">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602F3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250" w:type="pct"/>
            <w:tcBorders>
              <w:top w:val="single" w:color="000000" w:sz="4" w:space="0"/>
              <w:left w:val="single" w:color="000000" w:sz="4" w:space="0"/>
              <w:bottom w:val="single" w:color="000000" w:sz="4" w:space="0"/>
              <w:right w:val="single" w:color="000000" w:sz="4" w:space="0"/>
            </w:tcBorders>
            <w:shd w:val="clear" w:color="auto" w:fill="FFFF00"/>
            <w:noWrap w:val="0"/>
            <w:vAlign w:val="center"/>
          </w:tcPr>
          <w:p w14:paraId="375666DA">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10362F8D">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球机支架摄像头吊装支架</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12B3F60C">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不锈钢材质，承重≥20kg，适配球型云台摄像头，吊装 / 侧装可选，360° 旋转，角度可调，防水防锈，附带安装螺丝，适配室内外球机吊装</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45077FE3">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225</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4433B571">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3D5DF5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4" w:hRule="atLeast"/>
        </w:trPr>
        <w:tc>
          <w:tcPr>
            <w:tcW w:w="250" w:type="pct"/>
            <w:tcBorders>
              <w:top w:val="single" w:color="000000" w:sz="4" w:space="0"/>
              <w:left w:val="single" w:color="000000" w:sz="4" w:space="0"/>
              <w:bottom w:val="single" w:color="000000" w:sz="4" w:space="0"/>
              <w:right w:val="single" w:color="000000" w:sz="4" w:space="0"/>
            </w:tcBorders>
            <w:shd w:val="clear" w:color="auto" w:fill="FFFF00"/>
            <w:noWrap w:val="0"/>
            <w:vAlign w:val="center"/>
          </w:tcPr>
          <w:p w14:paraId="04548111">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5815FBB1">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枪机支架摄像头吊装支架</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6F4B4A42">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冷轧钢材质，喷塑处理，适配枪式摄像头，吊装安装，角度可调（水平 360°，垂直 ±90°），承重≥15kg，防晃动，附带固定配件，适配室内枪机吊装</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31492F51">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72</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07FAA165">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5CAA1D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1" w:hRule="atLeast"/>
        </w:trPr>
        <w:tc>
          <w:tcPr>
            <w:tcW w:w="250" w:type="pct"/>
            <w:tcBorders>
              <w:top w:val="single" w:color="000000" w:sz="4" w:space="0"/>
              <w:left w:val="single" w:color="000000" w:sz="4" w:space="0"/>
              <w:bottom w:val="single" w:color="000000" w:sz="4" w:space="0"/>
              <w:right w:val="single" w:color="000000" w:sz="4" w:space="0"/>
            </w:tcBorders>
            <w:shd w:val="clear" w:color="auto" w:fill="FFFF00"/>
            <w:noWrap w:val="0"/>
            <w:vAlign w:val="center"/>
          </w:tcPr>
          <w:p w14:paraId="4ABC9D89">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5D4E73F5">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 xml:space="preserve">枪机支架  </w:t>
            </w:r>
          </w:p>
          <w:p w14:paraId="17C3E3CA">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30cm</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4CC810BD">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长度 30cm</w:t>
            </w:r>
            <w:r>
              <w:rPr>
                <w:rFonts w:hint="eastAsia" w:ascii="仿宋" w:hAnsi="仿宋" w:eastAsia="仿宋" w:cs="仿宋"/>
                <w:highlight w:val="none"/>
                <w:lang w:val="en-US" w:eastAsia="zh-CN"/>
              </w:rPr>
              <w:t>（±5%）</w:t>
            </w:r>
            <w:r>
              <w:rPr>
                <w:rFonts w:hint="eastAsia" w:ascii="仿宋" w:hAnsi="仿宋" w:eastAsia="仿宋" w:cs="仿宋"/>
                <w:i w:val="0"/>
                <w:iCs w:val="0"/>
                <w:color w:val="000000"/>
                <w:kern w:val="0"/>
                <w:sz w:val="21"/>
                <w:szCs w:val="21"/>
                <w:highlight w:val="none"/>
                <w:u w:val="none"/>
                <w:lang w:val="en-US" w:eastAsia="zh-CN" w:bidi="ar"/>
              </w:rPr>
              <w:t>，冷轧钢材质，喷塑防锈，适配枪式摄像头，壁挂安装，角度可调（水平 360°，垂直 - 90°~90°），承重≥10kg，安装孔位精准，附带螺丝</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782FD748">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78</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27306D64">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153C31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4" w:hRule="atLeast"/>
        </w:trPr>
        <w:tc>
          <w:tcPr>
            <w:tcW w:w="250" w:type="pct"/>
            <w:tcBorders>
              <w:top w:val="single" w:color="000000" w:sz="4" w:space="0"/>
              <w:left w:val="single" w:color="000000" w:sz="4" w:space="0"/>
              <w:bottom w:val="single" w:color="000000" w:sz="4" w:space="0"/>
              <w:right w:val="single" w:color="000000" w:sz="4" w:space="0"/>
            </w:tcBorders>
            <w:shd w:val="clear" w:color="auto" w:fill="FFFF00"/>
            <w:noWrap w:val="0"/>
            <w:vAlign w:val="center"/>
          </w:tcPr>
          <w:p w14:paraId="7DFDA7E8">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4116F82E">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 xml:space="preserve">球机支架  </w:t>
            </w:r>
          </w:p>
          <w:p w14:paraId="11319C29">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30cm</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6B7CEBFE">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长度 30cm</w:t>
            </w:r>
            <w:r>
              <w:rPr>
                <w:rFonts w:hint="eastAsia" w:ascii="仿宋" w:hAnsi="仿宋" w:eastAsia="仿宋" w:cs="仿宋"/>
                <w:highlight w:val="none"/>
                <w:lang w:val="en-US" w:eastAsia="zh-CN"/>
              </w:rPr>
              <w:t>（±5%）</w:t>
            </w:r>
            <w:r>
              <w:rPr>
                <w:rFonts w:hint="eastAsia" w:ascii="仿宋" w:hAnsi="仿宋" w:eastAsia="仿宋" w:cs="仿宋"/>
                <w:i w:val="0"/>
                <w:iCs w:val="0"/>
                <w:color w:val="000000"/>
                <w:kern w:val="0"/>
                <w:sz w:val="21"/>
                <w:szCs w:val="21"/>
                <w:highlight w:val="none"/>
                <w:u w:val="none"/>
                <w:lang w:val="en-US" w:eastAsia="zh-CN" w:bidi="ar"/>
              </w:rPr>
              <w:t>，不锈钢材质，适配球型云台摄像头，壁挂 / 立柱安装，角度可调，承重≥20kg，防水防锈，抗晃动，附带安装配件</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4530D61F">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85</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79F7641E">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1DDCDE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4" w:hRule="atLeast"/>
        </w:trPr>
        <w:tc>
          <w:tcPr>
            <w:tcW w:w="250" w:type="pct"/>
            <w:tcBorders>
              <w:top w:val="single" w:color="000000" w:sz="4" w:space="0"/>
              <w:left w:val="single" w:color="000000" w:sz="4" w:space="0"/>
              <w:bottom w:val="single" w:color="000000" w:sz="4" w:space="0"/>
              <w:right w:val="single" w:color="000000" w:sz="4" w:space="0"/>
            </w:tcBorders>
            <w:shd w:val="clear" w:color="auto" w:fill="FFFF00"/>
            <w:noWrap w:val="0"/>
            <w:vAlign w:val="center"/>
          </w:tcPr>
          <w:p w14:paraId="5D0C9405">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0F770770">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枪机支架</w:t>
            </w:r>
          </w:p>
          <w:p w14:paraId="5242FBEA">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50cm</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65DB0844">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长度 50cm</w:t>
            </w:r>
            <w:r>
              <w:rPr>
                <w:rFonts w:hint="eastAsia" w:ascii="仿宋" w:hAnsi="仿宋" w:eastAsia="仿宋" w:cs="仿宋"/>
                <w:highlight w:val="none"/>
                <w:lang w:val="en-US" w:eastAsia="zh-CN"/>
              </w:rPr>
              <w:t>（±5%）</w:t>
            </w:r>
            <w:r>
              <w:rPr>
                <w:rFonts w:hint="eastAsia" w:ascii="仿宋" w:hAnsi="仿宋" w:eastAsia="仿宋" w:cs="仿宋"/>
                <w:i w:val="0"/>
                <w:iCs w:val="0"/>
                <w:color w:val="000000"/>
                <w:kern w:val="0"/>
                <w:sz w:val="21"/>
                <w:szCs w:val="21"/>
                <w:highlight w:val="none"/>
                <w:u w:val="none"/>
                <w:lang w:val="en-US" w:eastAsia="zh-CN" w:bidi="ar"/>
              </w:rPr>
              <w:t>，冷轧钢材质，壁厚≥1.5mm，喷塑处理，适配枪式摄像头，壁挂 / 立柱安装，360° 水平旋转，±90° 垂直调节，承重≥12kg，防腐蚀，附带固定螺丝</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4037AF76">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111</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7CA9833F">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1DC7B6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4" w:hRule="atLeast"/>
        </w:trPr>
        <w:tc>
          <w:tcPr>
            <w:tcW w:w="250" w:type="pct"/>
            <w:tcBorders>
              <w:top w:val="single" w:color="000000" w:sz="4" w:space="0"/>
              <w:left w:val="single" w:color="000000" w:sz="4" w:space="0"/>
              <w:bottom w:val="single" w:color="000000" w:sz="4" w:space="0"/>
              <w:right w:val="single" w:color="000000" w:sz="4" w:space="0"/>
            </w:tcBorders>
            <w:shd w:val="clear" w:color="auto" w:fill="FFFF00"/>
            <w:noWrap w:val="0"/>
            <w:vAlign w:val="center"/>
          </w:tcPr>
          <w:p w14:paraId="1F9F61E6">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23BE827A">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 xml:space="preserve">球机支架  </w:t>
            </w:r>
          </w:p>
          <w:p w14:paraId="11BFD19E">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50cm</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4A43A3EC">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长度 50cm</w:t>
            </w:r>
            <w:r>
              <w:rPr>
                <w:rFonts w:hint="eastAsia" w:ascii="仿宋" w:hAnsi="仿宋" w:eastAsia="仿宋" w:cs="仿宋"/>
                <w:highlight w:val="none"/>
                <w:lang w:val="en-US" w:eastAsia="zh-CN"/>
              </w:rPr>
              <w:t>（±5%）</w:t>
            </w:r>
            <w:r>
              <w:rPr>
                <w:rFonts w:hint="eastAsia" w:ascii="仿宋" w:hAnsi="仿宋" w:eastAsia="仿宋" w:cs="仿宋"/>
                <w:i w:val="0"/>
                <w:iCs w:val="0"/>
                <w:color w:val="000000"/>
                <w:kern w:val="0"/>
                <w:sz w:val="21"/>
                <w:szCs w:val="21"/>
                <w:highlight w:val="none"/>
                <w:u w:val="none"/>
                <w:lang w:val="en-US" w:eastAsia="zh-CN" w:bidi="ar"/>
              </w:rPr>
              <w:t>，不锈钢材质，壁厚≥2mm，适配球机，壁挂 / 立柱安装，角度自由调节，承重≥25kg，防水防锈，抗风抗晃动，附带安装法兰盘</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7DB3B900">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81</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4D795020">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005060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5" w:hRule="atLeast"/>
        </w:trPr>
        <w:tc>
          <w:tcPr>
            <w:tcW w:w="250" w:type="pct"/>
            <w:tcBorders>
              <w:top w:val="single" w:color="000000" w:sz="4" w:space="0"/>
              <w:left w:val="single" w:color="000000" w:sz="4" w:space="0"/>
              <w:bottom w:val="single" w:color="000000" w:sz="4" w:space="0"/>
              <w:right w:val="single" w:color="000000" w:sz="4" w:space="0"/>
            </w:tcBorders>
            <w:shd w:val="clear" w:color="auto" w:fill="FFFF00"/>
            <w:noWrap w:val="0"/>
            <w:vAlign w:val="center"/>
          </w:tcPr>
          <w:p w14:paraId="3B0A7EE7">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131396AA">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鸭嘴支架安装固定架子（铝合金）180mm</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44C06001">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铝合金材质，长度 180mm</w:t>
            </w:r>
            <w:r>
              <w:rPr>
                <w:rFonts w:hint="eastAsia" w:ascii="仿宋" w:hAnsi="仿宋" w:eastAsia="仿宋" w:cs="仿宋"/>
                <w:highlight w:val="none"/>
                <w:lang w:val="en-US" w:eastAsia="zh-CN"/>
              </w:rPr>
              <w:t>（±5%）</w:t>
            </w:r>
            <w:r>
              <w:rPr>
                <w:rFonts w:hint="eastAsia" w:ascii="仿宋" w:hAnsi="仿宋" w:eastAsia="仿宋" w:cs="仿宋"/>
                <w:i w:val="0"/>
                <w:iCs w:val="0"/>
                <w:color w:val="000000"/>
                <w:kern w:val="0"/>
                <w:sz w:val="21"/>
                <w:szCs w:val="21"/>
                <w:highlight w:val="none"/>
                <w:u w:val="none"/>
                <w:lang w:val="en-US" w:eastAsia="zh-CN" w:bidi="ar"/>
              </w:rPr>
              <w:t>，鸭嘴式设计，角度可调（±90°），适配枪机 / 半球摄像头，壁挂安装，承重≥8kg，防水防锈，表面氧化处理，附带螺丝配件</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45E36E54">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61</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0AEC1391">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1CCFFF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4"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03BB874B">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158E34E8">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Style w:val="30"/>
                <w:rFonts w:hint="eastAsia" w:ascii="仿宋" w:hAnsi="仿宋" w:eastAsia="仿宋" w:cs="仿宋"/>
                <w:sz w:val="21"/>
                <w:szCs w:val="21"/>
                <w:highlight w:val="none"/>
                <w:lang w:val="en-US" w:eastAsia="zh-CN" w:bidi="ar"/>
              </w:rPr>
              <w:t>网络跳线  六类</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075F51FC">
            <w:pPr>
              <w:keepNext w:val="0"/>
              <w:keepLines w:val="0"/>
              <w:pageBreakBefore w:val="0"/>
              <w:widowControl/>
              <w:kinsoku/>
              <w:wordWrap/>
              <w:overflowPunct/>
              <w:topLinePunct w:val="0"/>
              <w:autoSpaceDE/>
              <w:autoSpaceDN/>
              <w:bidi w:val="0"/>
              <w:adjustRightInd w:val="0"/>
              <w:snapToGrid w:val="0"/>
              <w:spacing w:line="520" w:lineRule="exact"/>
              <w:jc w:val="left"/>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sz w:val="21"/>
                <w:szCs w:val="21"/>
                <w:highlight w:val="none"/>
                <w:u w:val="none"/>
              </w:rPr>
              <w:t>六类非屏蔽 / 屏蔽跳线，RJ45 接口，线径 24AWG，长度 1-30 米可选，传输速率≥1000Mbps，阻燃外被，镀金触点，抗干扰，通过福禄克测试，适配六类网络组网</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24D971AF">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sz w:val="21"/>
                <w:szCs w:val="21"/>
                <w:highlight w:val="none"/>
                <w:u w:val="none"/>
                <w:lang w:val="en-US" w:eastAsia="zh-CN"/>
              </w:rPr>
              <w:t>14</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11561D41">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kern w:val="0"/>
                <w:sz w:val="21"/>
                <w:szCs w:val="21"/>
                <w:highlight w:val="none"/>
                <w:u w:val="none"/>
                <w:lang w:val="en-US" w:eastAsia="zh-CN" w:bidi="ar"/>
              </w:rPr>
            </w:pPr>
          </w:p>
        </w:tc>
      </w:tr>
      <w:tr w14:paraId="16B6F4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6"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01374112">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0ED58225">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VGA跳线</w:t>
            </w:r>
          </w:p>
          <w:p w14:paraId="4D882EBA">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15M</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03B17462">
            <w:pPr>
              <w:keepNext w:val="0"/>
              <w:keepLines w:val="0"/>
              <w:pageBreakBefore w:val="0"/>
              <w:widowControl/>
              <w:kinsoku/>
              <w:wordWrap/>
              <w:overflowPunct/>
              <w:topLinePunct w:val="0"/>
              <w:autoSpaceDE/>
              <w:autoSpaceDN/>
              <w:bidi w:val="0"/>
              <w:adjustRightInd w:val="0"/>
              <w:snapToGrid w:val="0"/>
              <w:spacing w:line="520" w:lineRule="exact"/>
              <w:jc w:val="left"/>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sz w:val="21"/>
                <w:szCs w:val="21"/>
                <w:highlight w:val="none"/>
                <w:u w:val="none"/>
              </w:rPr>
              <w:t>长度 15 米</w:t>
            </w:r>
            <w:r>
              <w:rPr>
                <w:rFonts w:hint="eastAsia" w:ascii="仿宋" w:hAnsi="仿宋" w:eastAsia="仿宋" w:cs="仿宋"/>
                <w:highlight w:val="none"/>
                <w:lang w:val="en-US" w:eastAsia="zh-CN"/>
              </w:rPr>
              <w:t>（±5%）</w:t>
            </w:r>
            <w:r>
              <w:rPr>
                <w:rFonts w:hint="eastAsia" w:ascii="仿宋" w:hAnsi="仿宋" w:eastAsia="仿宋" w:cs="仿宋"/>
                <w:i w:val="0"/>
                <w:iCs w:val="0"/>
                <w:color w:val="000000"/>
                <w:sz w:val="21"/>
                <w:szCs w:val="21"/>
                <w:highlight w:val="none"/>
                <w:u w:val="none"/>
              </w:rPr>
              <w:t>，VGA3+6 芯，分辨率≥1920×1080，镀金接口，屏蔽层抗干扰，外被耐磨，两端带磁环，适配 VGA 设备信号传输</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3C290781">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sz w:val="21"/>
                <w:szCs w:val="21"/>
                <w:highlight w:val="none"/>
                <w:u w:val="none"/>
                <w:lang w:val="en-US" w:eastAsia="zh-CN"/>
              </w:rPr>
              <w:t>156</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54544234">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kern w:val="0"/>
                <w:sz w:val="21"/>
                <w:szCs w:val="21"/>
                <w:highlight w:val="none"/>
                <w:u w:val="none"/>
                <w:lang w:val="en-US" w:eastAsia="zh-CN" w:bidi="ar"/>
              </w:rPr>
            </w:pPr>
          </w:p>
        </w:tc>
      </w:tr>
      <w:tr w14:paraId="66D258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6"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3AF3CBED">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2DFC50D2">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HDMI跳线</w:t>
            </w:r>
          </w:p>
          <w:p w14:paraId="65647536">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15M</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5C125525">
            <w:pPr>
              <w:keepNext w:val="0"/>
              <w:keepLines w:val="0"/>
              <w:pageBreakBefore w:val="0"/>
              <w:widowControl/>
              <w:kinsoku/>
              <w:wordWrap/>
              <w:overflowPunct/>
              <w:topLinePunct w:val="0"/>
              <w:autoSpaceDE/>
              <w:autoSpaceDN/>
              <w:bidi w:val="0"/>
              <w:adjustRightInd w:val="0"/>
              <w:snapToGrid w:val="0"/>
              <w:spacing w:line="520" w:lineRule="exact"/>
              <w:jc w:val="left"/>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sz w:val="21"/>
                <w:szCs w:val="21"/>
                <w:highlight w:val="none"/>
                <w:u w:val="none"/>
              </w:rPr>
              <w:t>长度 15 米</w:t>
            </w:r>
            <w:r>
              <w:rPr>
                <w:rFonts w:hint="eastAsia" w:ascii="仿宋" w:hAnsi="仿宋" w:eastAsia="仿宋" w:cs="仿宋"/>
                <w:highlight w:val="none"/>
                <w:lang w:val="en-US" w:eastAsia="zh-CN"/>
              </w:rPr>
              <w:t>（±5%）</w:t>
            </w:r>
            <w:r>
              <w:rPr>
                <w:rFonts w:hint="eastAsia" w:ascii="仿宋" w:hAnsi="仿宋" w:eastAsia="仿宋" w:cs="仿宋"/>
                <w:i w:val="0"/>
                <w:iCs w:val="0"/>
                <w:color w:val="000000"/>
                <w:sz w:val="21"/>
                <w:szCs w:val="21"/>
                <w:highlight w:val="none"/>
                <w:u w:val="none"/>
              </w:rPr>
              <w:t>，HDMI2.0 版本，支持 4K@60Hz，镀金黄头，编织屏蔽层，抗干扰，外被阻燃，两端带磁环，传输稳定，适配 HDMI 高清设备信号传输</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3905E200">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sz w:val="21"/>
                <w:szCs w:val="21"/>
                <w:highlight w:val="none"/>
                <w:u w:val="none"/>
                <w:lang w:val="en-US" w:eastAsia="zh-CN"/>
              </w:rPr>
              <w:t>192</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6F9DA66E">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kern w:val="0"/>
                <w:sz w:val="21"/>
                <w:szCs w:val="21"/>
                <w:highlight w:val="none"/>
                <w:u w:val="none"/>
                <w:lang w:val="en-US" w:eastAsia="zh-CN" w:bidi="ar"/>
              </w:rPr>
            </w:pPr>
          </w:p>
        </w:tc>
      </w:tr>
      <w:tr w14:paraId="78F9B7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6"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0BACC8BE">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7B49FC9A">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Style w:val="30"/>
                <w:rFonts w:hint="eastAsia" w:ascii="仿宋" w:hAnsi="仿宋" w:eastAsia="仿宋" w:cs="仿宋"/>
                <w:sz w:val="21"/>
                <w:szCs w:val="21"/>
                <w:highlight w:val="none"/>
                <w:lang w:val="en-US" w:eastAsia="zh-CN" w:bidi="ar"/>
              </w:rPr>
              <w:t>配管  PVC20</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2A819B63">
            <w:pPr>
              <w:keepNext w:val="0"/>
              <w:keepLines w:val="0"/>
              <w:pageBreakBefore w:val="0"/>
              <w:widowControl/>
              <w:kinsoku/>
              <w:wordWrap/>
              <w:overflowPunct/>
              <w:topLinePunct w:val="0"/>
              <w:autoSpaceDE/>
              <w:autoSpaceDN/>
              <w:bidi w:val="0"/>
              <w:adjustRightInd w:val="0"/>
              <w:snapToGrid w:val="0"/>
              <w:spacing w:line="520" w:lineRule="exact"/>
              <w:jc w:val="left"/>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sz w:val="21"/>
                <w:szCs w:val="21"/>
                <w:highlight w:val="none"/>
                <w:u w:val="none"/>
              </w:rPr>
              <w:t>PVC 材质，公称直径 20mm</w:t>
            </w:r>
            <w:r>
              <w:rPr>
                <w:rFonts w:hint="eastAsia" w:ascii="仿宋" w:hAnsi="仿宋" w:eastAsia="仿宋" w:cs="仿宋"/>
                <w:highlight w:val="none"/>
                <w:lang w:val="en-US" w:eastAsia="zh-CN"/>
              </w:rPr>
              <w:t>（±5%）</w:t>
            </w:r>
            <w:r>
              <w:rPr>
                <w:rFonts w:hint="eastAsia" w:ascii="仿宋" w:hAnsi="仿宋" w:eastAsia="仿宋" w:cs="仿宋"/>
                <w:i w:val="0"/>
                <w:iCs w:val="0"/>
                <w:color w:val="000000"/>
                <w:sz w:val="21"/>
                <w:szCs w:val="21"/>
                <w:highlight w:val="none"/>
                <w:u w:val="none"/>
              </w:rPr>
              <w:t>，壁厚≥1.6mm，阻燃等级 VO 级，耐高低温，抗冲击，内壁光滑，适配安防线路穿管保护，可明装 / 暗装</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7ED5E360">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sz w:val="21"/>
                <w:szCs w:val="21"/>
                <w:highlight w:val="none"/>
                <w:u w:val="none"/>
                <w:lang w:val="en-US" w:eastAsia="zh-CN"/>
              </w:rPr>
              <w:t>6.26</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216C81CA">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kern w:val="0"/>
                <w:sz w:val="21"/>
                <w:szCs w:val="21"/>
                <w:highlight w:val="none"/>
                <w:u w:val="none"/>
                <w:lang w:val="en-US" w:eastAsia="zh-CN" w:bidi="ar"/>
              </w:rPr>
            </w:pPr>
          </w:p>
        </w:tc>
      </w:tr>
      <w:tr w14:paraId="52B849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6"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7DD11FCC">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019640FD">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Style w:val="30"/>
                <w:rFonts w:hint="eastAsia" w:ascii="仿宋" w:hAnsi="仿宋" w:eastAsia="仿宋" w:cs="仿宋"/>
                <w:sz w:val="21"/>
                <w:szCs w:val="21"/>
                <w:highlight w:val="none"/>
                <w:lang w:val="en-US" w:eastAsia="zh-CN" w:bidi="ar"/>
              </w:rPr>
              <w:t>配线  RVV2*1.5</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3D01AF83">
            <w:pPr>
              <w:keepNext w:val="0"/>
              <w:keepLines w:val="0"/>
              <w:pageBreakBefore w:val="0"/>
              <w:widowControl/>
              <w:kinsoku/>
              <w:wordWrap/>
              <w:overflowPunct/>
              <w:topLinePunct w:val="0"/>
              <w:autoSpaceDE/>
              <w:autoSpaceDN/>
              <w:bidi w:val="0"/>
              <w:adjustRightInd w:val="0"/>
              <w:snapToGrid w:val="0"/>
              <w:spacing w:line="520" w:lineRule="exact"/>
              <w:jc w:val="left"/>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sz w:val="21"/>
                <w:szCs w:val="21"/>
                <w:highlight w:val="none"/>
                <w:u w:val="none"/>
              </w:rPr>
              <w:t>RVV 软芯护套线，2 芯，线芯截面积</w:t>
            </w:r>
            <w:r>
              <w:rPr>
                <w:rFonts w:hint="eastAsia" w:ascii="仿宋" w:hAnsi="仿宋" w:eastAsia="仿宋" w:cs="仿宋"/>
                <w:highlight w:val="none"/>
                <w:lang w:val="en-US" w:eastAsia="zh-CN"/>
              </w:rPr>
              <w:t>≥</w:t>
            </w:r>
            <w:r>
              <w:rPr>
                <w:rFonts w:hint="eastAsia" w:ascii="仿宋" w:hAnsi="仿宋" w:eastAsia="仿宋" w:cs="仿宋"/>
                <w:i w:val="0"/>
                <w:iCs w:val="0"/>
                <w:color w:val="000000"/>
                <w:sz w:val="21"/>
                <w:szCs w:val="21"/>
                <w:highlight w:val="none"/>
                <w:u w:val="none"/>
              </w:rPr>
              <w:t xml:space="preserve"> 1.5mm²，铜芯无氧铜，阻燃外被，耐压 300/500V，耐温 - 10℃~70℃，适配安防设备电源线 / 信号线</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1D7445CE">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sz w:val="21"/>
                <w:szCs w:val="21"/>
                <w:highlight w:val="none"/>
                <w:u w:val="none"/>
                <w:lang w:val="en-US" w:eastAsia="zh-CN"/>
              </w:rPr>
              <w:t>6.45</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68263E44">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kern w:val="0"/>
                <w:sz w:val="21"/>
                <w:szCs w:val="21"/>
                <w:highlight w:val="none"/>
                <w:u w:val="none"/>
                <w:lang w:val="en-US" w:eastAsia="zh-CN" w:bidi="ar"/>
              </w:rPr>
            </w:pPr>
          </w:p>
        </w:tc>
      </w:tr>
      <w:tr w14:paraId="1C0ADF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6"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18D276DA">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1892259C">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Style w:val="30"/>
                <w:rFonts w:hint="eastAsia" w:ascii="仿宋" w:hAnsi="仿宋" w:eastAsia="仿宋" w:cs="仿宋"/>
                <w:sz w:val="21"/>
                <w:szCs w:val="21"/>
                <w:highlight w:val="none"/>
                <w:lang w:val="en-US" w:eastAsia="zh-CN" w:bidi="ar"/>
              </w:rPr>
              <w:t>配线  RVV4*1.5</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2F05BDBD">
            <w:pPr>
              <w:keepNext w:val="0"/>
              <w:keepLines w:val="0"/>
              <w:pageBreakBefore w:val="0"/>
              <w:widowControl/>
              <w:kinsoku/>
              <w:wordWrap/>
              <w:overflowPunct/>
              <w:topLinePunct w:val="0"/>
              <w:autoSpaceDE/>
              <w:autoSpaceDN/>
              <w:bidi w:val="0"/>
              <w:adjustRightInd w:val="0"/>
              <w:snapToGrid w:val="0"/>
              <w:spacing w:line="520" w:lineRule="exact"/>
              <w:jc w:val="left"/>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sz w:val="21"/>
                <w:szCs w:val="21"/>
                <w:highlight w:val="none"/>
                <w:u w:val="none"/>
              </w:rPr>
              <w:t xml:space="preserve">RVV4 芯，线芯 </w:t>
            </w:r>
            <w:r>
              <w:rPr>
                <w:rFonts w:hint="eastAsia" w:ascii="仿宋" w:hAnsi="仿宋" w:eastAsia="仿宋" w:cs="仿宋"/>
                <w:highlight w:val="none"/>
                <w:lang w:val="en-US" w:eastAsia="zh-CN"/>
              </w:rPr>
              <w:t>≥</w:t>
            </w:r>
            <w:r>
              <w:rPr>
                <w:rFonts w:hint="eastAsia" w:ascii="仿宋" w:hAnsi="仿宋" w:eastAsia="仿宋" w:cs="仿宋"/>
                <w:i w:val="0"/>
                <w:iCs w:val="0"/>
                <w:color w:val="000000"/>
                <w:sz w:val="21"/>
                <w:szCs w:val="21"/>
                <w:highlight w:val="none"/>
                <w:u w:val="none"/>
              </w:rPr>
              <w:t>1.5mm²，无氧铜芯，阻燃护套，耐压 300/500V，柔软易布线，适配多设备集中供电 / 多芯信号线传输</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6D79C827">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sz w:val="21"/>
                <w:szCs w:val="21"/>
                <w:highlight w:val="none"/>
                <w:u w:val="none"/>
                <w:lang w:val="en-US" w:eastAsia="zh-CN"/>
              </w:rPr>
              <w:t>10</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4F1B2C7E">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kern w:val="0"/>
                <w:sz w:val="21"/>
                <w:szCs w:val="21"/>
                <w:highlight w:val="none"/>
                <w:u w:val="none"/>
                <w:lang w:val="en-US" w:eastAsia="zh-CN" w:bidi="ar"/>
              </w:rPr>
            </w:pPr>
          </w:p>
        </w:tc>
      </w:tr>
      <w:tr w14:paraId="254963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6"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2B830318">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04999F1C">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Style w:val="30"/>
                <w:rFonts w:hint="eastAsia" w:ascii="仿宋" w:hAnsi="仿宋" w:eastAsia="仿宋" w:cs="仿宋"/>
                <w:sz w:val="21"/>
                <w:szCs w:val="21"/>
                <w:highlight w:val="none"/>
                <w:lang w:val="en-US" w:eastAsia="zh-CN" w:bidi="ar"/>
              </w:rPr>
              <w:t>配线  RVV6*1</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02932CF1">
            <w:pPr>
              <w:keepNext w:val="0"/>
              <w:keepLines w:val="0"/>
              <w:pageBreakBefore w:val="0"/>
              <w:widowControl/>
              <w:kinsoku/>
              <w:wordWrap/>
              <w:overflowPunct/>
              <w:topLinePunct w:val="0"/>
              <w:autoSpaceDE/>
              <w:autoSpaceDN/>
              <w:bidi w:val="0"/>
              <w:adjustRightInd w:val="0"/>
              <w:snapToGrid w:val="0"/>
              <w:spacing w:line="520" w:lineRule="exact"/>
              <w:jc w:val="left"/>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sz w:val="21"/>
                <w:szCs w:val="21"/>
                <w:highlight w:val="none"/>
                <w:u w:val="none"/>
              </w:rPr>
              <w:t>RVV6 芯，线芯</w:t>
            </w:r>
            <w:r>
              <w:rPr>
                <w:rFonts w:hint="eastAsia" w:ascii="仿宋" w:hAnsi="仿宋" w:eastAsia="仿宋" w:cs="仿宋"/>
                <w:highlight w:val="none"/>
                <w:lang w:val="en-US" w:eastAsia="zh-CN"/>
              </w:rPr>
              <w:t>≥</w:t>
            </w:r>
            <w:r>
              <w:rPr>
                <w:rFonts w:hint="eastAsia" w:ascii="仿宋" w:hAnsi="仿宋" w:eastAsia="仿宋" w:cs="仿宋"/>
                <w:i w:val="0"/>
                <w:iCs w:val="0"/>
                <w:color w:val="000000"/>
                <w:sz w:val="21"/>
                <w:szCs w:val="21"/>
                <w:highlight w:val="none"/>
                <w:u w:val="none"/>
              </w:rPr>
              <w:t>1mm²，无氧铜，阻燃外被，耐压 300/500V，适配安防系统多信号采集 / 小型设备供电</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0CC8F0B6">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sz w:val="21"/>
                <w:szCs w:val="21"/>
                <w:highlight w:val="none"/>
                <w:u w:val="none"/>
                <w:lang w:val="en-US" w:eastAsia="zh-CN"/>
              </w:rPr>
              <w:t>13</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406D4FA1">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kern w:val="0"/>
                <w:sz w:val="21"/>
                <w:szCs w:val="21"/>
                <w:highlight w:val="none"/>
                <w:u w:val="none"/>
                <w:lang w:val="en-US" w:eastAsia="zh-CN" w:bidi="ar"/>
              </w:rPr>
            </w:pPr>
          </w:p>
        </w:tc>
      </w:tr>
      <w:tr w14:paraId="30C24B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6"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7D535E73">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6D49B9AC">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Style w:val="30"/>
                <w:rFonts w:hint="eastAsia" w:ascii="仿宋" w:hAnsi="仿宋" w:eastAsia="仿宋" w:cs="仿宋"/>
                <w:sz w:val="21"/>
                <w:szCs w:val="21"/>
                <w:highlight w:val="none"/>
                <w:lang w:val="en-US" w:eastAsia="zh-CN" w:bidi="ar"/>
              </w:rPr>
              <w:t>配线  Cat5e</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5F7B3BF1">
            <w:pPr>
              <w:keepNext w:val="0"/>
              <w:keepLines w:val="0"/>
              <w:pageBreakBefore w:val="0"/>
              <w:widowControl/>
              <w:kinsoku/>
              <w:wordWrap/>
              <w:overflowPunct/>
              <w:topLinePunct w:val="0"/>
              <w:autoSpaceDE/>
              <w:autoSpaceDN/>
              <w:bidi w:val="0"/>
              <w:adjustRightInd w:val="0"/>
              <w:snapToGrid w:val="0"/>
              <w:spacing w:line="520" w:lineRule="exact"/>
              <w:jc w:val="left"/>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sz w:val="21"/>
                <w:szCs w:val="21"/>
                <w:highlight w:val="none"/>
                <w:u w:val="none"/>
              </w:rPr>
              <w:t>超五类非屏蔽双绞线，4 对 8 芯，24AWG，无氧铜芯，传输速率≥100Mbps，阻燃外被，符合 T568A/T568B 标准，适配百兆网络 / 普通监控布线</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6B4B73EA">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sz w:val="21"/>
                <w:szCs w:val="21"/>
                <w:highlight w:val="none"/>
                <w:u w:val="none"/>
                <w:lang w:val="en-US" w:eastAsia="zh-CN"/>
              </w:rPr>
              <w:t>5</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58FC5AF2">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kern w:val="0"/>
                <w:sz w:val="21"/>
                <w:szCs w:val="21"/>
                <w:highlight w:val="none"/>
                <w:u w:val="none"/>
                <w:lang w:val="en-US" w:eastAsia="zh-CN" w:bidi="ar"/>
              </w:rPr>
            </w:pPr>
          </w:p>
        </w:tc>
      </w:tr>
      <w:tr w14:paraId="4BFFFC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6"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5BF44535">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51E11084">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Style w:val="30"/>
                <w:rFonts w:hint="eastAsia" w:ascii="仿宋" w:hAnsi="仿宋" w:eastAsia="仿宋" w:cs="仿宋"/>
                <w:sz w:val="21"/>
                <w:szCs w:val="21"/>
                <w:highlight w:val="none"/>
                <w:lang w:val="en-US" w:eastAsia="zh-CN" w:bidi="ar"/>
              </w:rPr>
              <w:t>配线  UTP6</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521C33AB">
            <w:pPr>
              <w:keepNext w:val="0"/>
              <w:keepLines w:val="0"/>
              <w:pageBreakBefore w:val="0"/>
              <w:widowControl/>
              <w:kinsoku/>
              <w:wordWrap/>
              <w:overflowPunct/>
              <w:topLinePunct w:val="0"/>
              <w:autoSpaceDE/>
              <w:autoSpaceDN/>
              <w:bidi w:val="0"/>
              <w:adjustRightInd w:val="0"/>
              <w:snapToGrid w:val="0"/>
              <w:spacing w:line="520" w:lineRule="exact"/>
              <w:jc w:val="left"/>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sz w:val="21"/>
                <w:szCs w:val="21"/>
                <w:highlight w:val="none"/>
                <w:u w:val="none"/>
              </w:rPr>
              <w:t>六类非屏蔽双绞线，4 对 8 芯，23AWG，无氧铜芯，传输速率≥1000Mbps，十字骨架抗干扰，阻燃外被，符合 ISO/IEC 11801 标准，适配千兆网络 / 高清监控布线</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6EC325EB">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sz w:val="21"/>
                <w:szCs w:val="21"/>
                <w:highlight w:val="none"/>
                <w:u w:val="none"/>
                <w:lang w:val="en-US" w:eastAsia="zh-CN"/>
              </w:rPr>
              <w:t>6</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1950280C">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kern w:val="0"/>
                <w:sz w:val="21"/>
                <w:szCs w:val="21"/>
                <w:highlight w:val="none"/>
                <w:u w:val="none"/>
                <w:lang w:val="en-US" w:eastAsia="zh-CN" w:bidi="ar"/>
              </w:rPr>
            </w:pPr>
          </w:p>
        </w:tc>
      </w:tr>
      <w:tr w14:paraId="5486C2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6"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7F302FDB">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38D1E058">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光缆 12芯（室内，单模）</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1AD2B108">
            <w:pPr>
              <w:keepNext w:val="0"/>
              <w:keepLines w:val="0"/>
              <w:pageBreakBefore w:val="0"/>
              <w:widowControl/>
              <w:kinsoku/>
              <w:wordWrap/>
              <w:overflowPunct/>
              <w:topLinePunct w:val="0"/>
              <w:autoSpaceDE/>
              <w:autoSpaceDN/>
              <w:bidi w:val="0"/>
              <w:adjustRightInd w:val="0"/>
              <w:snapToGrid w:val="0"/>
              <w:spacing w:line="520" w:lineRule="exact"/>
              <w:jc w:val="left"/>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sz w:val="21"/>
                <w:szCs w:val="21"/>
                <w:highlight w:val="none"/>
                <w:u w:val="none"/>
              </w:rPr>
              <w:t>室内单模光缆，12 芯，纤芯直径 9/125μm，紧套层绞式，阻燃外被，柔软易布线，传输距离≥20 公里，适配室内光纤组网</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1C6C0BFE">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sz w:val="21"/>
                <w:szCs w:val="21"/>
                <w:highlight w:val="none"/>
                <w:u w:val="none"/>
                <w:lang w:val="en-US" w:eastAsia="zh-CN"/>
              </w:rPr>
              <w:t>4</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5E3C38CA">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kern w:val="0"/>
                <w:sz w:val="21"/>
                <w:szCs w:val="21"/>
                <w:highlight w:val="none"/>
                <w:u w:val="none"/>
                <w:lang w:val="en-US" w:eastAsia="zh-CN" w:bidi="ar"/>
              </w:rPr>
            </w:pPr>
          </w:p>
        </w:tc>
      </w:tr>
      <w:tr w14:paraId="2E364B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6"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69F6D87C">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4ABE8D0E">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光缆 12芯（室外，单模）</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6646D797">
            <w:pPr>
              <w:keepNext w:val="0"/>
              <w:keepLines w:val="0"/>
              <w:pageBreakBefore w:val="0"/>
              <w:widowControl/>
              <w:kinsoku/>
              <w:wordWrap/>
              <w:overflowPunct/>
              <w:topLinePunct w:val="0"/>
              <w:autoSpaceDE/>
              <w:autoSpaceDN/>
              <w:bidi w:val="0"/>
              <w:adjustRightInd w:val="0"/>
              <w:snapToGrid w:val="0"/>
              <w:spacing w:line="520" w:lineRule="exact"/>
              <w:jc w:val="left"/>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sz w:val="21"/>
                <w:szCs w:val="21"/>
                <w:highlight w:val="none"/>
                <w:u w:val="none"/>
              </w:rPr>
              <w:t>室外单模光缆，12 芯，9/125μm 纤芯，层绞式铠装（钢带 / 钢丝），防水防鼠，防晒抗老化，传输距离≥20 公里，适配室外长途光纤传输</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082F989F">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sz w:val="21"/>
                <w:szCs w:val="21"/>
                <w:highlight w:val="none"/>
                <w:u w:val="none"/>
                <w:lang w:val="en-US" w:eastAsia="zh-CN"/>
              </w:rPr>
              <w:t>4</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43A03F89">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kern w:val="0"/>
                <w:sz w:val="21"/>
                <w:szCs w:val="21"/>
                <w:highlight w:val="none"/>
                <w:u w:val="none"/>
                <w:lang w:val="en-US" w:eastAsia="zh-CN" w:bidi="ar"/>
              </w:rPr>
            </w:pPr>
          </w:p>
        </w:tc>
      </w:tr>
      <w:tr w14:paraId="67037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6"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1F1AE3FA">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36C91FC7">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光缆12芯（室内，多模）</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2D446C4F">
            <w:pPr>
              <w:keepNext w:val="0"/>
              <w:keepLines w:val="0"/>
              <w:pageBreakBefore w:val="0"/>
              <w:widowControl/>
              <w:kinsoku/>
              <w:wordWrap/>
              <w:overflowPunct/>
              <w:topLinePunct w:val="0"/>
              <w:autoSpaceDE/>
              <w:autoSpaceDN/>
              <w:bidi w:val="0"/>
              <w:adjustRightInd w:val="0"/>
              <w:snapToGrid w:val="0"/>
              <w:spacing w:line="520" w:lineRule="exact"/>
              <w:jc w:val="left"/>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sz w:val="21"/>
                <w:szCs w:val="21"/>
                <w:highlight w:val="none"/>
                <w:u w:val="none"/>
              </w:rPr>
              <w:t>室内多模光缆，12 芯，50/125μm（OM3），紧套式，阻燃外被，传输速率 10Gbps@300 米，适配室内短距离高速光纤组网</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65C51140">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sz w:val="21"/>
                <w:szCs w:val="21"/>
                <w:highlight w:val="none"/>
                <w:u w:val="none"/>
                <w:lang w:val="en-US" w:eastAsia="zh-CN"/>
              </w:rPr>
              <w:t>10</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0BDCBB49">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kern w:val="0"/>
                <w:sz w:val="21"/>
                <w:szCs w:val="21"/>
                <w:highlight w:val="none"/>
                <w:u w:val="none"/>
                <w:lang w:val="en-US" w:eastAsia="zh-CN" w:bidi="ar"/>
              </w:rPr>
            </w:pPr>
          </w:p>
        </w:tc>
      </w:tr>
      <w:tr w14:paraId="56D10E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6"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4ED64042">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20879078">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86底盒（明装普通）</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296A015C">
            <w:pPr>
              <w:keepNext w:val="0"/>
              <w:keepLines w:val="0"/>
              <w:pageBreakBefore w:val="0"/>
              <w:widowControl/>
              <w:kinsoku/>
              <w:wordWrap/>
              <w:overflowPunct/>
              <w:topLinePunct w:val="0"/>
              <w:autoSpaceDE/>
              <w:autoSpaceDN/>
              <w:bidi w:val="0"/>
              <w:adjustRightInd w:val="0"/>
              <w:snapToGrid w:val="0"/>
              <w:spacing w:line="520" w:lineRule="exact"/>
              <w:jc w:val="left"/>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sz w:val="21"/>
                <w:szCs w:val="21"/>
                <w:highlight w:val="none"/>
                <w:u w:val="none"/>
              </w:rPr>
              <w:t>86 型标准明装底盒，ABS 材质，壁厚≥1.5mm，带固定耳，孔径精准，适配室内普通开关 / 按钮 / 读卡器安装</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64043E60">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sz w:val="21"/>
                <w:szCs w:val="21"/>
                <w:highlight w:val="none"/>
                <w:u w:val="none"/>
                <w:lang w:val="en-US" w:eastAsia="zh-CN"/>
              </w:rPr>
              <w:t>15</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19EBB46C">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kern w:val="0"/>
                <w:sz w:val="21"/>
                <w:szCs w:val="21"/>
                <w:highlight w:val="none"/>
                <w:u w:val="none"/>
                <w:lang w:val="en-US" w:eastAsia="zh-CN" w:bidi="ar"/>
              </w:rPr>
            </w:pPr>
          </w:p>
        </w:tc>
      </w:tr>
      <w:tr w14:paraId="0D2039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6"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31CF586B">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3D629FFE">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86底盒（明装门禁用金属矮）</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1FD44CC2">
            <w:pPr>
              <w:keepNext w:val="0"/>
              <w:keepLines w:val="0"/>
              <w:pageBreakBefore w:val="0"/>
              <w:widowControl/>
              <w:kinsoku/>
              <w:wordWrap/>
              <w:overflowPunct/>
              <w:topLinePunct w:val="0"/>
              <w:autoSpaceDE/>
              <w:autoSpaceDN/>
              <w:bidi w:val="0"/>
              <w:adjustRightInd w:val="0"/>
              <w:snapToGrid w:val="0"/>
              <w:spacing w:line="520" w:lineRule="exact"/>
              <w:jc w:val="left"/>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sz w:val="21"/>
                <w:szCs w:val="21"/>
                <w:highlight w:val="none"/>
                <w:u w:val="none"/>
              </w:rPr>
              <w:t>86 型明装金属底盒，冷轧钢材质，超薄设计（高度≤30mm），喷塑防锈，带固定支架，孔径适配门禁读卡器 / 开门按钮，防拆设计，适配门禁设备安装</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1F91641E">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sz w:val="21"/>
                <w:szCs w:val="21"/>
                <w:highlight w:val="none"/>
                <w:u w:val="none"/>
                <w:lang w:val="en-US" w:eastAsia="zh-CN"/>
              </w:rPr>
              <w:t>18</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07EC49CC">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kern w:val="0"/>
                <w:sz w:val="21"/>
                <w:szCs w:val="21"/>
                <w:highlight w:val="none"/>
                <w:u w:val="none"/>
                <w:lang w:val="en-US" w:eastAsia="zh-CN" w:bidi="ar"/>
              </w:rPr>
            </w:pPr>
          </w:p>
        </w:tc>
      </w:tr>
      <w:tr w14:paraId="552B62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6"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2A5DFC70">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78399490">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POE分离器</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7F326F2E">
            <w:pPr>
              <w:keepNext w:val="0"/>
              <w:keepLines w:val="0"/>
              <w:pageBreakBefore w:val="0"/>
              <w:widowControl/>
              <w:kinsoku/>
              <w:wordWrap/>
              <w:overflowPunct/>
              <w:topLinePunct w:val="0"/>
              <w:autoSpaceDE/>
              <w:autoSpaceDN/>
              <w:bidi w:val="0"/>
              <w:adjustRightInd w:val="0"/>
              <w:snapToGrid w:val="0"/>
              <w:spacing w:line="520" w:lineRule="exact"/>
              <w:jc w:val="left"/>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sz w:val="21"/>
                <w:szCs w:val="21"/>
                <w:highlight w:val="none"/>
                <w:u w:val="none"/>
              </w:rPr>
              <w:t>符合 IEEE802.3af/at 标准，输入 POE 供电，输出 DC12V/24V 可选，分离网络信号和电力，传输距离≥100 米，金属 / ABS 外壳，防雷防静电，适配不支持 POE 的安防设备供电</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69C511DD">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sz w:val="21"/>
                <w:szCs w:val="21"/>
                <w:highlight w:val="none"/>
                <w:u w:val="none"/>
                <w:lang w:val="en-US" w:eastAsia="zh-CN"/>
              </w:rPr>
              <w:t>30</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589E6431">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kern w:val="0"/>
                <w:sz w:val="21"/>
                <w:szCs w:val="21"/>
                <w:highlight w:val="none"/>
                <w:u w:val="none"/>
                <w:lang w:val="en-US" w:eastAsia="zh-CN" w:bidi="ar"/>
              </w:rPr>
            </w:pPr>
          </w:p>
        </w:tc>
      </w:tr>
      <w:tr w14:paraId="2CD985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6"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7B708725">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3F2FC8BA">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POE中继器（1分2）</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4A83CA1E">
            <w:pPr>
              <w:keepNext w:val="0"/>
              <w:keepLines w:val="0"/>
              <w:pageBreakBefore w:val="0"/>
              <w:widowControl/>
              <w:kinsoku/>
              <w:wordWrap/>
              <w:overflowPunct/>
              <w:topLinePunct w:val="0"/>
              <w:autoSpaceDE/>
              <w:autoSpaceDN/>
              <w:bidi w:val="0"/>
              <w:adjustRightInd w:val="0"/>
              <w:snapToGrid w:val="0"/>
              <w:spacing w:line="520" w:lineRule="exact"/>
              <w:jc w:val="left"/>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sz w:val="21"/>
                <w:szCs w:val="21"/>
                <w:highlight w:val="none"/>
                <w:u w:val="none"/>
              </w:rPr>
              <w:t>IEEE802.3af/at 标准，1 路 POE 输入，2 路 POE 输出，单口 30W，整机 60W，信号中继放大，传输距离延长≥100 米，即插即用，防雷，适配监控网络远距离 POE 供电 + 信号传输</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4C4CE4D0">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sz w:val="21"/>
                <w:szCs w:val="21"/>
                <w:highlight w:val="none"/>
                <w:u w:val="none"/>
                <w:lang w:val="en-US" w:eastAsia="zh-CN"/>
              </w:rPr>
              <w:t>98</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06C1A76A">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kern w:val="0"/>
                <w:sz w:val="21"/>
                <w:szCs w:val="21"/>
                <w:highlight w:val="none"/>
                <w:u w:val="none"/>
                <w:lang w:val="en-US" w:eastAsia="zh-CN" w:bidi="ar"/>
              </w:rPr>
            </w:pPr>
          </w:p>
        </w:tc>
      </w:tr>
      <w:tr w14:paraId="538263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6"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207AE21E">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6B6693ED">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POE中继器（1分4）</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0E0BF46F">
            <w:pPr>
              <w:keepNext w:val="0"/>
              <w:keepLines w:val="0"/>
              <w:pageBreakBefore w:val="0"/>
              <w:widowControl/>
              <w:kinsoku/>
              <w:wordWrap/>
              <w:overflowPunct/>
              <w:topLinePunct w:val="0"/>
              <w:autoSpaceDE/>
              <w:autoSpaceDN/>
              <w:bidi w:val="0"/>
              <w:adjustRightInd w:val="0"/>
              <w:snapToGrid w:val="0"/>
              <w:spacing w:line="520" w:lineRule="exact"/>
              <w:jc w:val="left"/>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sz w:val="21"/>
                <w:szCs w:val="21"/>
                <w:highlight w:val="none"/>
                <w:u w:val="none"/>
              </w:rPr>
              <w:t>IEEE802.3af/at，1 进 4 出 POE，单口 30W，整机 120W，信号中继，传输距离≥100 米，金属外壳，防雷 6KV，即插即用，适配多设备远距离 POE 组网</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6C93AAD5">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sz w:val="21"/>
                <w:szCs w:val="21"/>
                <w:highlight w:val="none"/>
                <w:u w:val="none"/>
                <w:lang w:val="en-US" w:eastAsia="zh-CN"/>
              </w:rPr>
              <w:t>130</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6A2D69AD">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kern w:val="0"/>
                <w:sz w:val="21"/>
                <w:szCs w:val="21"/>
                <w:highlight w:val="none"/>
                <w:u w:val="none"/>
                <w:lang w:val="en-US" w:eastAsia="zh-CN" w:bidi="ar"/>
              </w:rPr>
            </w:pPr>
          </w:p>
        </w:tc>
      </w:tr>
      <w:tr w14:paraId="194A9E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6"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1E2644F9">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62737A6C">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插线板（无线、4个五孔）</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0AD6BD42">
            <w:pPr>
              <w:keepNext w:val="0"/>
              <w:keepLines w:val="0"/>
              <w:pageBreakBefore w:val="0"/>
              <w:widowControl/>
              <w:kinsoku/>
              <w:wordWrap/>
              <w:overflowPunct/>
              <w:topLinePunct w:val="0"/>
              <w:autoSpaceDE/>
              <w:autoSpaceDN/>
              <w:bidi w:val="0"/>
              <w:adjustRightInd w:val="0"/>
              <w:snapToGrid w:val="0"/>
              <w:spacing w:line="520" w:lineRule="exact"/>
              <w:jc w:val="left"/>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4"/>
                <w:szCs w:val="24"/>
                <w:highlight w:val="none"/>
                <w:u w:val="none"/>
                <w:lang w:val="en-US" w:eastAsia="zh-CN" w:bidi="ar"/>
              </w:rPr>
              <w:t>★</w:t>
            </w:r>
            <w:r>
              <w:rPr>
                <w:rFonts w:hint="eastAsia" w:ascii="仿宋" w:hAnsi="仿宋" w:eastAsia="仿宋" w:cs="仿宋"/>
                <w:i w:val="0"/>
                <w:iCs w:val="0"/>
                <w:color w:val="000000"/>
                <w:sz w:val="21"/>
                <w:szCs w:val="21"/>
                <w:highlight w:val="none"/>
                <w:u w:val="none"/>
                <w:lang w:val="en-US" w:eastAsia="zh-CN"/>
              </w:rPr>
              <w:t>满足国标要求</w:t>
            </w:r>
            <w:r>
              <w:rPr>
                <w:rFonts w:hint="eastAsia" w:ascii="仿宋" w:hAnsi="仿宋" w:eastAsia="仿宋" w:cs="仿宋"/>
                <w:i w:val="0"/>
                <w:iCs w:val="0"/>
                <w:color w:val="000000"/>
                <w:sz w:val="21"/>
                <w:szCs w:val="21"/>
                <w:highlight w:val="none"/>
                <w:u w:val="none"/>
              </w:rPr>
              <w:t>，4 个国标五孔插座，额定电压 250V，额定电流 10A，总功率 2500W，阻燃外壳，带过载保护，铜芯接线，适配安防设备临时供电</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3A1263AA">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sz w:val="21"/>
                <w:szCs w:val="21"/>
                <w:highlight w:val="none"/>
                <w:u w:val="none"/>
                <w:lang w:val="en-US" w:eastAsia="zh-CN"/>
              </w:rPr>
              <w:t>32</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092484A8">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kern w:val="0"/>
                <w:sz w:val="21"/>
                <w:szCs w:val="21"/>
                <w:highlight w:val="none"/>
                <w:u w:val="none"/>
                <w:lang w:val="en-US" w:eastAsia="zh-CN" w:bidi="ar"/>
              </w:rPr>
            </w:pPr>
          </w:p>
        </w:tc>
      </w:tr>
      <w:tr w14:paraId="126580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6"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34F20BCE">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7C3C740A">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三脚插头（接线）</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1A933E3A">
            <w:pPr>
              <w:keepNext w:val="0"/>
              <w:keepLines w:val="0"/>
              <w:pageBreakBefore w:val="0"/>
              <w:widowControl/>
              <w:kinsoku/>
              <w:wordWrap/>
              <w:overflowPunct/>
              <w:topLinePunct w:val="0"/>
              <w:autoSpaceDE/>
              <w:autoSpaceDN/>
              <w:bidi w:val="0"/>
              <w:adjustRightInd w:val="0"/>
              <w:snapToGrid w:val="0"/>
              <w:spacing w:line="520" w:lineRule="exact"/>
              <w:jc w:val="left"/>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4"/>
                <w:szCs w:val="24"/>
                <w:highlight w:val="none"/>
                <w:u w:val="none"/>
                <w:lang w:val="en-US" w:eastAsia="zh-CN" w:bidi="ar"/>
              </w:rPr>
              <w:t>★</w:t>
            </w:r>
            <w:r>
              <w:rPr>
                <w:rFonts w:hint="eastAsia" w:ascii="仿宋" w:hAnsi="仿宋" w:eastAsia="仿宋" w:cs="仿宋"/>
                <w:szCs w:val="21"/>
                <w:highlight w:val="none"/>
                <w:lang w:val="en-US" w:eastAsia="zh-CN"/>
              </w:rPr>
              <w:t>满足</w:t>
            </w:r>
            <w:r>
              <w:rPr>
                <w:rFonts w:hint="eastAsia" w:ascii="仿宋" w:hAnsi="仿宋" w:eastAsia="仿宋" w:cs="仿宋"/>
                <w:i w:val="0"/>
                <w:iCs w:val="0"/>
                <w:color w:val="000000"/>
                <w:sz w:val="21"/>
                <w:szCs w:val="21"/>
                <w:highlight w:val="none"/>
                <w:u w:val="none"/>
              </w:rPr>
              <w:t>国标</w:t>
            </w:r>
            <w:r>
              <w:rPr>
                <w:rFonts w:hint="eastAsia" w:ascii="仿宋" w:hAnsi="仿宋" w:eastAsia="仿宋" w:cs="仿宋"/>
                <w:i w:val="0"/>
                <w:iCs w:val="0"/>
                <w:color w:val="000000"/>
                <w:sz w:val="21"/>
                <w:szCs w:val="21"/>
                <w:highlight w:val="none"/>
                <w:u w:val="none"/>
                <w:lang w:val="en-US" w:eastAsia="zh-CN"/>
              </w:rPr>
              <w:t>要求，</w:t>
            </w:r>
            <w:r>
              <w:rPr>
                <w:rFonts w:hint="eastAsia" w:ascii="仿宋" w:hAnsi="仿宋" w:eastAsia="仿宋" w:cs="仿宋"/>
                <w:i w:val="0"/>
                <w:iCs w:val="0"/>
                <w:color w:val="000000"/>
                <w:sz w:val="21"/>
                <w:szCs w:val="21"/>
                <w:highlight w:val="none"/>
                <w:u w:val="none"/>
              </w:rPr>
              <w:t>三脚插头，额定 10A/250V，铜芯镀镍，阻燃外壳，接线便捷，抗摔耐压，适配安防设备电源线接线</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49259381">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sz w:val="21"/>
                <w:szCs w:val="21"/>
                <w:highlight w:val="none"/>
                <w:u w:val="none"/>
                <w:lang w:val="en-US" w:eastAsia="zh-CN"/>
              </w:rPr>
              <w:t>6</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56C8A678">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kern w:val="0"/>
                <w:sz w:val="21"/>
                <w:szCs w:val="21"/>
                <w:highlight w:val="none"/>
                <w:u w:val="none"/>
                <w:lang w:val="en-US" w:eastAsia="zh-CN" w:bidi="ar"/>
              </w:rPr>
            </w:pPr>
          </w:p>
        </w:tc>
      </w:tr>
      <w:tr w14:paraId="07A824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6" w:hRule="atLeast"/>
        </w:trPr>
        <w:tc>
          <w:tcPr>
            <w:tcW w:w="5000" w:type="pct"/>
            <w:gridSpan w:val="5"/>
            <w:tcBorders>
              <w:top w:val="single" w:color="000000" w:sz="4" w:space="0"/>
              <w:left w:val="single" w:color="000000" w:sz="4" w:space="0"/>
              <w:bottom w:val="single" w:color="000000" w:sz="4" w:space="0"/>
              <w:right w:val="single" w:color="000000" w:sz="4" w:space="0"/>
            </w:tcBorders>
            <w:noWrap w:val="0"/>
            <w:vAlign w:val="center"/>
          </w:tcPr>
          <w:p w14:paraId="40B26B54">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b/>
                <w:bCs/>
                <w:spacing w:val="-8"/>
                <w:kern w:val="2"/>
                <w:sz w:val="21"/>
                <w:szCs w:val="21"/>
                <w:highlight w:val="none"/>
                <w:lang w:val="en-US" w:eastAsia="zh-CN" w:bidi="ar-SA"/>
              </w:rPr>
              <w:t>非常用安防系统及设备器材</w:t>
            </w:r>
          </w:p>
        </w:tc>
      </w:tr>
      <w:tr w14:paraId="5F5700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250" w:type="pct"/>
            <w:tcBorders>
              <w:top w:val="single" w:color="000000" w:sz="4" w:space="0"/>
              <w:left w:val="single" w:color="000000" w:sz="4" w:space="0"/>
              <w:bottom w:val="single" w:color="000000" w:sz="4" w:space="0"/>
              <w:right w:val="single" w:color="000000" w:sz="4" w:space="0"/>
            </w:tcBorders>
            <w:shd w:val="clear" w:color="auto" w:fill="FFFF00"/>
            <w:noWrap w:val="0"/>
            <w:vAlign w:val="center"/>
          </w:tcPr>
          <w:p w14:paraId="0DE7CFE1">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b/>
                <w:bCs/>
                <w:i w:val="0"/>
                <w:iCs w:val="0"/>
                <w:color w:val="000000"/>
                <w:kern w:val="0"/>
                <w:sz w:val="21"/>
                <w:szCs w:val="21"/>
                <w:highlight w:val="none"/>
                <w:u w:val="none"/>
                <w:lang w:val="en-US" w:eastAsia="zh-CN" w:bidi="ar"/>
              </w:rPr>
              <w:t>序号</w:t>
            </w: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1FE21AA5">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b/>
                <w:bCs/>
                <w:i w:val="0"/>
                <w:iCs w:val="0"/>
                <w:color w:val="000000"/>
                <w:kern w:val="0"/>
                <w:sz w:val="21"/>
                <w:szCs w:val="21"/>
                <w:highlight w:val="none"/>
                <w:u w:val="none"/>
                <w:lang w:val="en-US" w:eastAsia="zh-CN" w:bidi="ar"/>
              </w:rPr>
              <w:t>器材名称</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6E23997F">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b/>
                <w:bCs/>
                <w:i w:val="0"/>
                <w:iCs w:val="0"/>
                <w:color w:val="000000"/>
                <w:kern w:val="0"/>
                <w:sz w:val="21"/>
                <w:szCs w:val="21"/>
                <w:highlight w:val="none"/>
                <w:u w:val="none"/>
                <w:lang w:val="en-US" w:eastAsia="zh-CN" w:bidi="ar"/>
              </w:rPr>
              <w:t>技术参数要求</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18419A6E">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b/>
                <w:bCs/>
                <w:i w:val="0"/>
                <w:iCs w:val="0"/>
                <w:color w:val="000000"/>
                <w:kern w:val="0"/>
                <w:sz w:val="21"/>
                <w:szCs w:val="21"/>
                <w:highlight w:val="none"/>
                <w:u w:val="none"/>
                <w:lang w:val="en-US" w:eastAsia="zh-CN" w:bidi="ar"/>
              </w:rPr>
              <w:t>最高限价（元）</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7814DA25">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0496E1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250" w:type="pct"/>
            <w:tcBorders>
              <w:top w:val="single" w:color="000000" w:sz="4" w:space="0"/>
              <w:left w:val="single" w:color="000000" w:sz="4" w:space="0"/>
              <w:bottom w:val="single" w:color="000000" w:sz="4" w:space="0"/>
              <w:right w:val="single" w:color="000000" w:sz="4" w:space="0"/>
            </w:tcBorders>
            <w:shd w:val="clear" w:color="auto" w:fill="FFFF00"/>
            <w:noWrap w:val="0"/>
            <w:vAlign w:val="center"/>
          </w:tcPr>
          <w:p w14:paraId="3F61F648">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left"/>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1F0ED9FF">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可视对讲解码器</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0F7A5621">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支持多路可视对讲信号解码（≥16 路），兼容主流可视对讲协议，TCP/IP 通讯，分辨率支持 1080P，具备信号放大、分配功能，机架式安装，DC12V 供电，支持多屏显示，联动监控系统</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1F80EC84">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602</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2A110578">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5345FD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4" w:hRule="atLeast"/>
        </w:trPr>
        <w:tc>
          <w:tcPr>
            <w:tcW w:w="250" w:type="pct"/>
            <w:tcBorders>
              <w:top w:val="single" w:color="000000" w:sz="4" w:space="0"/>
              <w:left w:val="single" w:color="000000" w:sz="4" w:space="0"/>
              <w:bottom w:val="single" w:color="000000" w:sz="4" w:space="0"/>
              <w:right w:val="single" w:color="000000" w:sz="4" w:space="0"/>
            </w:tcBorders>
            <w:shd w:val="clear" w:color="auto" w:fill="FFFF00"/>
            <w:noWrap w:val="0"/>
            <w:vAlign w:val="center"/>
          </w:tcPr>
          <w:p w14:paraId="6B3B9B6D">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34C1D657">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物联网报警系统人体传感器</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5B2DE0D9">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红外感应 + 微波探测双鉴，探测距离≥8 米，探测角度 110°，物联网无线通讯（4G/WiFi），DC12V / 电池供电可选，低功耗，防水等级≥ IP65，支持移动侦测报警，联动物联网报警平台（现用设备为科立富）</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476ECF4B">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437</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54923230">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6DCAE3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4" w:hRule="atLeast"/>
        </w:trPr>
        <w:tc>
          <w:tcPr>
            <w:tcW w:w="250" w:type="pct"/>
            <w:tcBorders>
              <w:top w:val="single" w:color="000000" w:sz="4" w:space="0"/>
              <w:left w:val="single" w:color="000000" w:sz="4" w:space="0"/>
              <w:bottom w:val="single" w:color="000000" w:sz="4" w:space="0"/>
              <w:right w:val="single" w:color="000000" w:sz="4" w:space="0"/>
            </w:tcBorders>
            <w:shd w:val="clear" w:color="auto" w:fill="FFFF00"/>
            <w:noWrap w:val="0"/>
            <w:vAlign w:val="center"/>
          </w:tcPr>
          <w:p w14:paraId="7D532823">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0AE1C99B">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物联网报警系统开门传感器</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0AC02B31">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门磁式设计，无线物联网通讯（4G/WiFi），感应距离≤20mm，DC3V 电池供电，续航≥2 年，防水等级≥ IP65，支持门 / 窗开关状态检测，触发即时报警，联动物联网平台，防拆报警（现用设备为科立富）</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0B77F578">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513</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0CD3DD83">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1F29F6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4" w:hRule="atLeast"/>
        </w:trPr>
        <w:tc>
          <w:tcPr>
            <w:tcW w:w="250" w:type="pct"/>
            <w:tcBorders>
              <w:top w:val="single" w:color="000000" w:sz="4" w:space="0"/>
              <w:left w:val="single" w:color="000000" w:sz="4" w:space="0"/>
              <w:bottom w:val="single" w:color="000000" w:sz="4" w:space="0"/>
              <w:right w:val="single" w:color="000000" w:sz="4" w:space="0"/>
            </w:tcBorders>
            <w:shd w:val="clear" w:color="auto" w:fill="FFFF00"/>
            <w:noWrap w:val="0"/>
            <w:vAlign w:val="center"/>
          </w:tcPr>
          <w:p w14:paraId="4541FEE5">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7EA80955">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硬盘录像机8路</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1A2E0FE2">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支持≥ 8 路≥800万像素视频接入，H.265+/H.265 视频编码，双盘位，支持 8T 监控硬盘，HDMI/VGA 输出（分辨率≥4K），TCP/IP 通讯，支持移动侦测、报警联动，远程监控 / 回放，硬盘休眠功能，DC12V 供电</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6D5B3767">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1183</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12360321">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26A7D3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7" w:hRule="atLeast"/>
        </w:trPr>
        <w:tc>
          <w:tcPr>
            <w:tcW w:w="250" w:type="pct"/>
            <w:tcBorders>
              <w:top w:val="single" w:color="000000" w:sz="4" w:space="0"/>
              <w:left w:val="single" w:color="000000" w:sz="4" w:space="0"/>
              <w:bottom w:val="single" w:color="000000" w:sz="4" w:space="0"/>
              <w:right w:val="single" w:color="000000" w:sz="4" w:space="0"/>
            </w:tcBorders>
            <w:shd w:val="clear" w:color="auto" w:fill="FFFF00"/>
            <w:noWrap w:val="0"/>
            <w:vAlign w:val="center"/>
          </w:tcPr>
          <w:p w14:paraId="7A3C2798">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11EC7224">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硬盘录像机16路</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7649BB98">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1.支持可接驳符合ONVIF、RTSP标准的众多主流厂商网络摄像机；支持接入H.265、Smart265、H.264、Smart264视频编码码流；支持≥12路1080P解码；</w:t>
            </w:r>
          </w:p>
          <w:p w14:paraId="58C344EA">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2.支持≥800万像素高清网络视频的预览、存储与回放；支持HDMI与VGA同/异源输出，HDMI支持≥4K超高清显示输出，VGA支持≥1080P高清显示输出；≥8个SATA接口，支持≥满配10T硬盘；支持IP设备集中管理，包括IP设备一键添加、参数配置、批量升级、导入/导出等；支持≥16路本地同步回放；</w:t>
            </w:r>
          </w:p>
          <w:p w14:paraId="29FAB913">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3.支持针对人、车及事件类型，支持快速回放与检索功能；</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7FF3FCF0">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1554</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445DDB32">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3FEAF6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7" w:hRule="atLeast"/>
        </w:trPr>
        <w:tc>
          <w:tcPr>
            <w:tcW w:w="250" w:type="pct"/>
            <w:tcBorders>
              <w:top w:val="single" w:color="000000" w:sz="4" w:space="0"/>
              <w:left w:val="single" w:color="000000" w:sz="4" w:space="0"/>
              <w:bottom w:val="single" w:color="000000" w:sz="4" w:space="0"/>
              <w:right w:val="single" w:color="000000" w:sz="4" w:space="0"/>
            </w:tcBorders>
            <w:shd w:val="clear" w:color="auto" w:fill="FFFF00"/>
            <w:noWrap w:val="0"/>
            <w:vAlign w:val="center"/>
          </w:tcPr>
          <w:p w14:paraId="4B0143C5">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22B56FCF">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硬盘录像机32路</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21CA721D">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1.支持可接驳符合ONVIF、RTSP标准的众多主流厂商网络摄像机；支持接入H.265、Smart265、H.264、Smart264视频编码码流；支持≥12路1080P解码；</w:t>
            </w:r>
          </w:p>
          <w:p w14:paraId="0AE19C82">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2.支持≥800万像素高清网络视频的预览、存储与回放；支持HDMI与VGA同/异源输出，HDMI支持≥4K超高清显示输出，VGA支持≥1080P高清显示输出；≥8个SATA接口，支持≥满配10T硬盘；支持IP设备集中管理，包括IP设备一键添加、参数配置、批量升级、导入/导出等；支持≥16路本地同步回放；</w:t>
            </w:r>
          </w:p>
          <w:p w14:paraId="017C3100">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3.支持针对人、车及事件类型，支持快速回放与检索功能；</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4FEC2A38">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2498</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35DE71C1">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4EF119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4" w:hRule="atLeast"/>
        </w:trPr>
        <w:tc>
          <w:tcPr>
            <w:tcW w:w="250" w:type="pct"/>
            <w:tcBorders>
              <w:top w:val="single" w:color="000000" w:sz="4" w:space="0"/>
              <w:left w:val="single" w:color="000000" w:sz="4" w:space="0"/>
              <w:bottom w:val="single" w:color="000000" w:sz="4" w:space="0"/>
              <w:right w:val="single" w:color="000000" w:sz="4" w:space="0"/>
            </w:tcBorders>
            <w:shd w:val="clear" w:color="auto" w:fill="FFFF00"/>
            <w:noWrap w:val="0"/>
            <w:vAlign w:val="center"/>
          </w:tcPr>
          <w:p w14:paraId="28D9B0B4">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4CAC4E2A">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Style w:val="30"/>
                <w:rFonts w:hint="eastAsia" w:ascii="仿宋" w:hAnsi="仿宋" w:eastAsia="仿宋" w:cs="仿宋"/>
                <w:sz w:val="21"/>
                <w:szCs w:val="21"/>
                <w:highlight w:val="none"/>
                <w:lang w:val="en-US" w:eastAsia="zh-CN" w:bidi="ar"/>
              </w:rPr>
              <w:t>硬盘录像机  64路</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338A245D">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1.支持可接驳符合ONVIF、RTSP标准的众多主流厂商网络摄像机；支持接入H.265、Smart265、H.264、Smart264视频编码码流；支持≥12路1080P解码；</w:t>
            </w:r>
          </w:p>
          <w:p w14:paraId="08DEE0ED">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2.支持≥800万像素高清网络视频的预览、存储与回放；支持HDMI与VGA同/异源输出，HDMI支持≥4K超高清显示输出，VGA支持≥1080P高清显示输出；≥8个SATA接口，支持≥满配10T硬盘；支持IP设备集中管理，包括IP设备一键添加、参数配置、批量升级、导入/导出等；支持≥16路本地同步回放；</w:t>
            </w:r>
          </w:p>
          <w:p w14:paraId="4824CF92">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3.支持针对人、车及事件类型，支持快速回放与检索功能；</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2F38D99B">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6632</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77897D40">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0F8BD8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9"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60B0A2E4">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477AD75C">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监控存储服务器（16盘位）</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662F48B4">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16 盘位机架式，支持</w:t>
            </w:r>
            <w:r>
              <w:rPr>
                <w:rFonts w:hint="eastAsia" w:ascii="仿宋" w:hAnsi="仿宋" w:eastAsia="仿宋" w:cs="仿宋"/>
                <w:highlight w:val="none"/>
                <w:lang w:val="en-US" w:eastAsia="zh-CN"/>
              </w:rPr>
              <w:t>≥</w:t>
            </w:r>
            <w:r>
              <w:rPr>
                <w:rFonts w:hint="eastAsia" w:ascii="仿宋" w:hAnsi="仿宋" w:eastAsia="仿宋" w:cs="仿宋"/>
                <w:i w:val="0"/>
                <w:iCs w:val="0"/>
                <w:color w:val="000000"/>
                <w:kern w:val="0"/>
                <w:sz w:val="21"/>
                <w:szCs w:val="21"/>
                <w:highlight w:val="none"/>
                <w:u w:val="none"/>
                <w:lang w:val="en-US" w:eastAsia="zh-CN" w:bidi="ar"/>
              </w:rPr>
              <w:t>400 万像素视频集中存储，单盘支持 20T，总存储容量≥320TB，H.265+/H.265 解码，支持 RAID0/1/5/6/10，双千兆网口，支持负载均衡，7×24 小时工作，AC220V 供电，兼容 ONVIF/GB28181 协议，适配大型安防监控存储</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504DBB5C">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25300</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47DC857C">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0583FA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1967862D">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1E8A944A">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监控电视墙</w:t>
            </w:r>
          </w:p>
          <w:p w14:paraId="13F591DC">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3.5mm 拼接</w:t>
            </w:r>
          </w:p>
          <w:p w14:paraId="7D2D5CE4">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显示器 46</w:t>
            </w:r>
          </w:p>
          <w:p w14:paraId="6BE6757D">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寸</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40F68674">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highlight w:val="none"/>
                <w:lang w:val="en-US" w:eastAsia="zh-CN"/>
              </w:rPr>
              <w:t>≥</w:t>
            </w:r>
            <w:r>
              <w:rPr>
                <w:rFonts w:hint="eastAsia" w:ascii="仿宋" w:hAnsi="仿宋" w:eastAsia="仿宋" w:cs="仿宋"/>
                <w:i w:val="0"/>
                <w:iCs w:val="0"/>
                <w:color w:val="000000"/>
                <w:kern w:val="0"/>
                <w:sz w:val="21"/>
                <w:szCs w:val="21"/>
                <w:highlight w:val="none"/>
                <w:u w:val="none"/>
                <w:lang w:val="en-US" w:eastAsia="zh-CN" w:bidi="ar"/>
              </w:rPr>
              <w:t>46 英寸 LCD 液晶，物理拼缝</w:t>
            </w:r>
            <w:r>
              <w:rPr>
                <w:rFonts w:hint="eastAsia" w:ascii="仿宋" w:hAnsi="仿宋" w:eastAsia="仿宋" w:cs="仿宋"/>
                <w:highlight w:val="none"/>
                <w:lang w:val="en-US" w:eastAsia="zh-CN"/>
              </w:rPr>
              <w:t>≤</w:t>
            </w:r>
            <w:r>
              <w:rPr>
                <w:rFonts w:hint="eastAsia" w:ascii="仿宋" w:hAnsi="仿宋" w:eastAsia="仿宋" w:cs="仿宋"/>
                <w:i w:val="0"/>
                <w:iCs w:val="0"/>
                <w:color w:val="000000"/>
                <w:kern w:val="0"/>
                <w:sz w:val="21"/>
                <w:szCs w:val="21"/>
                <w:highlight w:val="none"/>
                <w:u w:val="none"/>
                <w:lang w:val="en-US" w:eastAsia="zh-CN" w:bidi="ar"/>
              </w:rPr>
              <w:t>3.5mm，分辨率 ≥1920×1080，亮度≥500cd/㎡，对比度≥3000:1，可视角度≥178°(H)/178°(V)，支持 7×24 小时工作，HDMI/VGA/DP 接口，拼接触发器，金属外壳，适配监控中心拼接显示</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044D0CBE">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3878</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7D8617B5">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7D7196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6"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32C51513">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6FBB9E7A">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监控电视墙</w:t>
            </w:r>
          </w:p>
          <w:p w14:paraId="06822864">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3.5mm 拼接</w:t>
            </w:r>
          </w:p>
          <w:p w14:paraId="44829BFE">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显示器 49</w:t>
            </w:r>
          </w:p>
          <w:p w14:paraId="69C2D63A">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寸</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45270FF8">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highlight w:val="none"/>
                <w:lang w:val="en-US" w:eastAsia="zh-CN"/>
              </w:rPr>
              <w:t>≥</w:t>
            </w:r>
            <w:r>
              <w:rPr>
                <w:rFonts w:hint="eastAsia" w:ascii="仿宋" w:hAnsi="仿宋" w:eastAsia="仿宋" w:cs="仿宋"/>
                <w:i w:val="0"/>
                <w:iCs w:val="0"/>
                <w:color w:val="000000"/>
                <w:kern w:val="0"/>
                <w:sz w:val="21"/>
                <w:szCs w:val="21"/>
                <w:highlight w:val="none"/>
                <w:u w:val="none"/>
                <w:lang w:val="en-US" w:eastAsia="zh-CN" w:bidi="ar"/>
              </w:rPr>
              <w:t>49 英寸 LCD 液晶，物理拼缝</w:t>
            </w:r>
            <w:r>
              <w:rPr>
                <w:rFonts w:hint="eastAsia" w:ascii="仿宋" w:hAnsi="仿宋" w:eastAsia="仿宋" w:cs="仿宋"/>
                <w:highlight w:val="none"/>
                <w:lang w:val="en-US" w:eastAsia="zh-CN"/>
              </w:rPr>
              <w:t>≤</w:t>
            </w:r>
            <w:r>
              <w:rPr>
                <w:rFonts w:hint="eastAsia" w:ascii="仿宋" w:hAnsi="仿宋" w:eastAsia="仿宋" w:cs="仿宋"/>
                <w:i w:val="0"/>
                <w:iCs w:val="0"/>
                <w:color w:val="000000"/>
                <w:kern w:val="0"/>
                <w:sz w:val="21"/>
                <w:szCs w:val="21"/>
                <w:highlight w:val="none"/>
                <w:u w:val="none"/>
                <w:lang w:val="en-US" w:eastAsia="zh-CN" w:bidi="ar"/>
              </w:rPr>
              <w:t>3.5mm，分辨率≥1920×1080，亮度≥500cd/㎡，对比度≥3000:1，可视角度≥178°，7×24 小时不间断工作，多接口（HDMI/DP/VGA），支持拼接控制，低功耗，机架式安装</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564D867E">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6024</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58FCA409">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6E69B9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6"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48086273">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1484F716">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监控电视墙</w:t>
            </w:r>
          </w:p>
          <w:p w14:paraId="53364673">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3.5mm 拼接</w:t>
            </w:r>
          </w:p>
          <w:p w14:paraId="234BF9B2">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显示器 55</w:t>
            </w:r>
          </w:p>
          <w:p w14:paraId="61DC1FAD">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寸</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5C6102C9">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highlight w:val="none"/>
                <w:lang w:val="en-US" w:eastAsia="zh-CN"/>
              </w:rPr>
              <w:t>≥</w:t>
            </w:r>
            <w:r>
              <w:rPr>
                <w:rFonts w:hint="eastAsia" w:ascii="仿宋" w:hAnsi="仿宋" w:eastAsia="仿宋" w:cs="仿宋"/>
                <w:i w:val="0"/>
                <w:iCs w:val="0"/>
                <w:color w:val="000000"/>
                <w:kern w:val="0"/>
                <w:sz w:val="21"/>
                <w:szCs w:val="21"/>
                <w:highlight w:val="none"/>
                <w:u w:val="none"/>
                <w:lang w:val="en-US" w:eastAsia="zh-CN" w:bidi="ar"/>
              </w:rPr>
              <w:t xml:space="preserve">55 英寸 LCD 液晶，物理拼缝 </w:t>
            </w:r>
            <w:r>
              <w:rPr>
                <w:rFonts w:hint="eastAsia" w:ascii="仿宋" w:hAnsi="仿宋" w:eastAsia="仿宋" w:cs="仿宋"/>
                <w:highlight w:val="none"/>
                <w:lang w:val="en-US" w:eastAsia="zh-CN"/>
              </w:rPr>
              <w:t>≤</w:t>
            </w:r>
            <w:r>
              <w:rPr>
                <w:rFonts w:hint="eastAsia" w:ascii="仿宋" w:hAnsi="仿宋" w:eastAsia="仿宋" w:cs="仿宋"/>
                <w:i w:val="0"/>
                <w:iCs w:val="0"/>
                <w:color w:val="000000"/>
                <w:kern w:val="0"/>
                <w:sz w:val="21"/>
                <w:szCs w:val="21"/>
                <w:highlight w:val="none"/>
                <w:u w:val="none"/>
                <w:lang w:val="en-US" w:eastAsia="zh-CN" w:bidi="ar"/>
              </w:rPr>
              <w:t>3.5mm，分辨率≥1920×1080，亮度≥500cd/㎡，对比度≥3000:1，可视角度≥178°，7×24 小时工作，支持色彩校准、拼缝补偿，HDMI2.0/DP1.4 接口，适配监控中心大尺寸拼接屏</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4F364280">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6818</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55D120DB">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17533C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6"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18F11582">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6A57BAFF">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Style w:val="30"/>
                <w:rFonts w:hint="eastAsia" w:ascii="仿宋" w:hAnsi="仿宋" w:eastAsia="仿宋" w:cs="仿宋"/>
                <w:sz w:val="21"/>
                <w:szCs w:val="21"/>
                <w:highlight w:val="none"/>
                <w:lang w:val="en-US" w:eastAsia="zh-CN" w:bidi="ar"/>
              </w:rPr>
              <w:t>监视器  24寸</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5702B35D">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highlight w:val="none"/>
                <w:lang w:val="en-US" w:eastAsia="zh-CN"/>
              </w:rPr>
              <w:t>≥</w:t>
            </w:r>
            <w:r>
              <w:rPr>
                <w:rFonts w:hint="eastAsia" w:ascii="仿宋" w:hAnsi="仿宋" w:eastAsia="仿宋" w:cs="仿宋"/>
                <w:i w:val="0"/>
                <w:iCs w:val="0"/>
                <w:color w:val="000000"/>
                <w:kern w:val="0"/>
                <w:sz w:val="21"/>
                <w:szCs w:val="21"/>
                <w:highlight w:val="none"/>
                <w:u w:val="none"/>
                <w:lang w:val="en-US" w:eastAsia="zh-CN" w:bidi="ar"/>
              </w:rPr>
              <w:t>24 英寸工业级液晶，分辨率</w:t>
            </w:r>
            <w:r>
              <w:rPr>
                <w:rFonts w:hint="eastAsia" w:ascii="仿宋" w:hAnsi="仿宋" w:eastAsia="仿宋" w:cs="仿宋"/>
                <w:highlight w:val="none"/>
                <w:lang w:val="en-US" w:eastAsia="zh-CN"/>
              </w:rPr>
              <w:t>≥</w:t>
            </w:r>
            <w:r>
              <w:rPr>
                <w:rFonts w:hint="eastAsia" w:ascii="仿宋" w:hAnsi="仿宋" w:eastAsia="仿宋" w:cs="仿宋"/>
                <w:i w:val="0"/>
                <w:iCs w:val="0"/>
                <w:color w:val="000000"/>
                <w:kern w:val="0"/>
                <w:sz w:val="21"/>
                <w:szCs w:val="21"/>
                <w:highlight w:val="none"/>
                <w:u w:val="none"/>
                <w:lang w:val="en-US" w:eastAsia="zh-CN" w:bidi="ar"/>
              </w:rPr>
              <w:t>1920×1080，亮度≥300cd/㎡，对比度≥1000:1，可视角度≥170°，7×24 小时工作，HDMI/VGA/BNC 接口，金属外壳，抗干扰，壁挂 / 桌面安装，适配小型监控点位显示</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29C00A91">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915</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4A900CC7">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559F47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4"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472A3E5F">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26353DEF">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Style w:val="30"/>
                <w:rFonts w:hint="eastAsia" w:ascii="仿宋" w:hAnsi="仿宋" w:eastAsia="仿宋" w:cs="仿宋"/>
                <w:sz w:val="21"/>
                <w:szCs w:val="21"/>
                <w:highlight w:val="none"/>
                <w:lang w:val="en-US" w:eastAsia="zh-CN" w:bidi="ar"/>
              </w:rPr>
              <w:t>监视器  43寸</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349C2935">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highlight w:val="none"/>
                <w:lang w:val="en-US" w:eastAsia="zh-CN"/>
              </w:rPr>
              <w:t>≥</w:t>
            </w:r>
            <w:r>
              <w:rPr>
                <w:rFonts w:hint="eastAsia" w:ascii="仿宋" w:hAnsi="仿宋" w:eastAsia="仿宋" w:cs="仿宋"/>
                <w:i w:val="0"/>
                <w:iCs w:val="0"/>
                <w:color w:val="000000"/>
                <w:kern w:val="0"/>
                <w:sz w:val="21"/>
                <w:szCs w:val="21"/>
                <w:highlight w:val="none"/>
                <w:u w:val="none"/>
                <w:lang w:val="en-US" w:eastAsia="zh-CN" w:bidi="ar"/>
              </w:rPr>
              <w:t>43 英寸工业级液晶，分辨率</w:t>
            </w:r>
            <w:r>
              <w:rPr>
                <w:rFonts w:hint="eastAsia" w:ascii="仿宋" w:hAnsi="仿宋" w:eastAsia="仿宋" w:cs="仿宋"/>
                <w:highlight w:val="none"/>
                <w:lang w:val="en-US" w:eastAsia="zh-CN"/>
              </w:rPr>
              <w:t>≥</w:t>
            </w:r>
            <w:r>
              <w:rPr>
                <w:rFonts w:hint="eastAsia" w:ascii="仿宋" w:hAnsi="仿宋" w:eastAsia="仿宋" w:cs="仿宋"/>
                <w:i w:val="0"/>
                <w:iCs w:val="0"/>
                <w:color w:val="000000"/>
                <w:kern w:val="0"/>
                <w:sz w:val="21"/>
                <w:szCs w:val="21"/>
                <w:highlight w:val="none"/>
                <w:u w:val="none"/>
                <w:lang w:val="en-US" w:eastAsia="zh-CN" w:bidi="ar"/>
              </w:rPr>
              <w:t>3840×2160，亮度≥400cd/㎡，对比度≥3000:1，7×24 小时工作，多接口（HDMI/DP/BNC/VGA），防眩光，金属外壳，壁挂 / 机架式安装，适配监控室分屏显示</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337E482F">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4317</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28B259B0">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4ED8CF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6"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14AAD694">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5B32B46B">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Style w:val="30"/>
                <w:rFonts w:hint="eastAsia" w:ascii="仿宋" w:hAnsi="仿宋" w:eastAsia="仿宋" w:cs="仿宋"/>
                <w:sz w:val="21"/>
                <w:szCs w:val="21"/>
                <w:highlight w:val="none"/>
                <w:lang w:val="en-US" w:eastAsia="zh-CN" w:bidi="ar"/>
              </w:rPr>
              <w:t>监视器  55寸</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64A81EC4">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highlight w:val="none"/>
                <w:lang w:val="en-US" w:eastAsia="zh-CN"/>
              </w:rPr>
              <w:t>≥</w:t>
            </w:r>
            <w:r>
              <w:rPr>
                <w:rFonts w:hint="eastAsia" w:ascii="仿宋" w:hAnsi="仿宋" w:eastAsia="仿宋" w:cs="仿宋"/>
                <w:i w:val="0"/>
                <w:iCs w:val="0"/>
                <w:color w:val="000000"/>
                <w:kern w:val="0"/>
                <w:sz w:val="21"/>
                <w:szCs w:val="21"/>
                <w:highlight w:val="none"/>
                <w:u w:val="none"/>
                <w:lang w:val="en-US" w:eastAsia="zh-CN" w:bidi="ar"/>
              </w:rPr>
              <w:t>55 英寸工业级液晶，4K 分辨率，亮度≥500cd/㎡，对比度≥4000:1，可视角度≥178°，7×24 小时不间断工作，HDMI2.0/DP1.4/BNC 接口，支持画面分割，金属外壳，抗干扰、防震动，机架式 / 壁挂安装</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3594BC57">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4592</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4229C732">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703C9A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35"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4D1BC6C7">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7D842E98">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 xml:space="preserve">视频解码器  </w:t>
            </w:r>
          </w:p>
          <w:p w14:paraId="32A84DB7">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16路</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43F5940E">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1.输入参数：1路VGA,1路DVI</w:t>
            </w:r>
          </w:p>
          <w:p w14:paraId="531BFC53">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2.输入分辨率：1080P:1920 x 1080@50/60 Hz,720P:1280 x 720@50/60 Hz</w:t>
            </w:r>
          </w:p>
          <w:p w14:paraId="290695FF">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3.输出参数：16路HDMI,8路BNC</w:t>
            </w:r>
          </w:p>
          <w:p w14:paraId="27C46369">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4.输出分辨率：HDMI:4K:3840 x 2160@30 Hz(奇数口支持),1080p:1920x 1080@60/50 Hz, 720p:1280 x720@50 Hz/60 Hz</w:t>
            </w:r>
          </w:p>
          <w:p w14:paraId="1825E0C5">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PAL制式:704 x 576,NTSC制式:704 x 480</w:t>
            </w:r>
          </w:p>
          <w:p w14:paraId="6ECCC4DE">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5.解码分辨率;最高2400W像素:</w:t>
            </w:r>
          </w:p>
          <w:p w14:paraId="415F0380">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6.解码通道:128</w:t>
            </w:r>
          </w:p>
          <w:p w14:paraId="6B4FDEF8">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7.解码能力:支持8路2400W,或16路1200W,或32路800W,或48路500W,或80路300W,或128路1080P及以下分辨率同时实时解码</w:t>
            </w:r>
          </w:p>
          <w:p w14:paraId="61166777">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8.画面分割数:1/2/4/6/8/9/12/16/25/36</w:t>
            </w:r>
          </w:p>
          <w:p w14:paraId="13FF71C1">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9.网口:2个RJ45 10M/100M/1000Mbps自适应以太网接口2个光口 100base-FX/1000base-X支持光电自适应</w:t>
            </w:r>
          </w:p>
          <w:p w14:paraId="46065B3C">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10.语音对讲输入:1个输入，3.5mm音频接口(电平:2.0Vp-p，阻抗:1K欧姆)</w:t>
            </w:r>
          </w:p>
          <w:p w14:paraId="5E5C74AA">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11.报警输出接口数:8</w:t>
            </w:r>
          </w:p>
          <w:p w14:paraId="1CB17F6A">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12.串行接口:1个标准232接口(RJ45)，1个标准485接口</w:t>
            </w:r>
          </w:p>
          <w:p w14:paraId="2DC82727">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13.音频输出接口:4个3.5mm接口独立音频输出</w:t>
            </w:r>
          </w:p>
          <w:p w14:paraId="1AD04719">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14.语音对讲输出:1个输出.3.5mm音频接口(电平:2.0Vp-p，阻抗:1K欧姆)</w:t>
            </w:r>
          </w:p>
          <w:p w14:paraId="394477A1">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15.报警输入接口数；8；内置220 VAC电源；</w:t>
            </w:r>
          </w:p>
          <w:p w14:paraId="0D5E93CC">
            <w:pPr>
              <w:pStyle w:val="6"/>
              <w:keepNext w:val="0"/>
              <w:keepLines w:val="0"/>
              <w:pageBreakBefore w:val="0"/>
              <w:widowControl/>
              <w:kinsoku/>
              <w:wordWrap/>
              <w:overflowPunct/>
              <w:topLinePunct w:val="0"/>
              <w:autoSpaceDE/>
              <w:autoSpaceDN/>
              <w:bidi w:val="0"/>
              <w:adjustRightInd w:val="0"/>
              <w:snapToGrid w:val="0"/>
              <w:spacing w:line="520" w:lineRule="exact"/>
              <w:rPr>
                <w:rFonts w:hint="eastAsia" w:ascii="仿宋" w:hAnsi="仿宋" w:eastAsia="仿宋" w:cs="仿宋"/>
                <w:sz w:val="21"/>
                <w:szCs w:val="21"/>
                <w:highlight w:val="none"/>
              </w:rPr>
            </w:pP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14A37329">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28512</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04C5FC97">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69D4E2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6"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3A74CC12">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5854CFB2">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VGA分配器</w:t>
            </w:r>
          </w:p>
          <w:p w14:paraId="670E00F0">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2路.4路</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174FD48D">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支持 1 进 2 出 / 1 进 4 出 VGA 信号分配，分辨率≥1920×1080@60Hz，带宽≥350MHz，信号传输距离≥15 米，即插即用，金属外壳，DC12V 供电，具备信号放大、抗干扰功能，适配 VGA 信号多屏分发</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75393C92">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119</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76102EBE">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4C37FA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6"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771C6339">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7C2DEBFB">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HDMI分配器</w:t>
            </w:r>
          </w:p>
          <w:p w14:paraId="52E1060F">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2路.4路</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2DB2A13D">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1 进 2 出 / 1 进 4 出 HDMI 信号分配，支持 4K@60Hz 分辨率，HDMI2.0 版本，带宽≥18Gbps，信号传输距离≥20 米，即插即用，金属外壳，防干扰，无需供电（低功耗款）/DC5V 供电，适配 HDMI 信号多屏显示</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20E06553">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126</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23A9541E">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213786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6"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03A5AFE7">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1E7B647A">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蓄电池12V 100A（含配线）</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7E141F39">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额定电压 12V，额定容量 100Ah，铅酸免维护蓄电池，循环使用寿命≥300 次，内阻≤100mΩ，含配套连接线（铜芯≥2.5mm²）、接线端子，适配安防设备 UPS 备用电源，可串联 / 并联，工作温度 - 10℃~50℃</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2DE79374">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1168</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22D3C6DB">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053874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4"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4AD47240">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5FB5EB6A">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光模块</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071B73CF">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千兆单模双纤光模块，波长 1310nm，传输距离≥20 km，SFP 封装，符合 IEEE802.3z 标准，光发射功率 - 9~-3dBm，接收灵敏度≤-21dBm，即插即用，适配光纤收发器 / 交换机</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6734B170">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220</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0FB3965C">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5D7510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6"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5D6FC22C">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3E151C7D">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光纤收发器  千兆</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51CEE4D2">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千兆单模双纤，传输距离≥20 km，波长 1310nm，1 光 1 电 / 1 光 4 电可选，符合 IEEE802.3ab/802.3z 标准，RJ45+SC 接口，支持全双工 / 半双工，防雷 6KV，POE 供电可选，桌面式 / 机架式，适配光纤网络转以太网</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0BBAA5D4">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320</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718F124E">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3A16DC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4"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255FE53F">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701B44B3">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 xml:space="preserve">光缆终端盒8口  </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06BF4EE7">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8 口 SC/FC/LC 可选，单模 / 多模适配，冷轧钢材质，防尘防水，壁挂 / 机架式安装，具备光缆固定、熔接、配线功能，含熔接盘、尾纤、耦合器，损耗≤0.3dB，适配 8 芯光缆熔接配线</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5AA17A00">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112</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20E96088">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5AAB59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4"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3AEACD5B">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6C045F15">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 xml:space="preserve">光缆终端盒 16口 </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09CB0A15">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16 口 SC/FC/LC 接口，单模 / 多模兼容，冷轧钢外壳，防水防尘，内置 2 个熔接盘，可熔接 16 芯光缆，损耗≤0.3dB，壁挂 / 机架式，含尾纤、耦合器，适配 16 芯光缆终端熔接</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534690D0">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126</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128A4BC2">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05781A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2"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646779A3">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23A9E4EE">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 xml:space="preserve">光缆终端盒24口  </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3AEF7D04">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24 口 SC/FC/LC 可选，单模 / 多模，冷轧钢材质，防水等级</w:t>
            </w:r>
            <w:r>
              <w:rPr>
                <w:rFonts w:hint="eastAsia" w:ascii="仿宋" w:hAnsi="仿宋" w:eastAsia="仿宋" w:cs="仿宋"/>
                <w:highlight w:val="none"/>
                <w:lang w:val="en-US" w:eastAsia="zh-CN"/>
              </w:rPr>
              <w:t>≥</w:t>
            </w:r>
            <w:r>
              <w:rPr>
                <w:rFonts w:hint="eastAsia" w:ascii="仿宋" w:hAnsi="仿宋" w:eastAsia="仿宋" w:cs="仿宋"/>
                <w:i w:val="0"/>
                <w:iCs w:val="0"/>
                <w:color w:val="000000"/>
                <w:kern w:val="0"/>
                <w:sz w:val="21"/>
                <w:szCs w:val="21"/>
                <w:highlight w:val="none"/>
                <w:u w:val="none"/>
                <w:lang w:val="en-US" w:eastAsia="zh-CN" w:bidi="ar"/>
              </w:rPr>
              <w:t>IP65 ，内置 3 个熔接盘，熔接 24 芯光缆，损耗≤0.3dB，机架式 / 壁挂安装，含全套熔接配件，适配 24 芯光缆配线</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6EE4FEC2">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154</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518E33C9">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3D937B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4"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0721B8B7">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71B1C8FC">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摄像头电源</w:t>
            </w:r>
          </w:p>
          <w:p w14:paraId="54B27C25">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DC12V-2A</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6D3E3089">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输出直流 12V/2A，输入 AC100-240V，稳压精度 ±1%，具备过流、过压、短路保护，效率≥85%，防水等级</w:t>
            </w:r>
            <w:r>
              <w:rPr>
                <w:rFonts w:hint="eastAsia" w:ascii="仿宋" w:hAnsi="仿宋" w:eastAsia="仿宋" w:cs="仿宋"/>
                <w:highlight w:val="none"/>
                <w:lang w:val="en-US" w:eastAsia="zh-CN"/>
              </w:rPr>
              <w:t>≥</w:t>
            </w:r>
            <w:r>
              <w:rPr>
                <w:rFonts w:hint="eastAsia" w:ascii="仿宋" w:hAnsi="仿宋" w:eastAsia="仿宋" w:cs="仿宋"/>
                <w:i w:val="0"/>
                <w:iCs w:val="0"/>
                <w:color w:val="000000"/>
                <w:kern w:val="0"/>
                <w:sz w:val="21"/>
                <w:szCs w:val="21"/>
                <w:highlight w:val="none"/>
                <w:u w:val="none"/>
                <w:lang w:val="en-US" w:eastAsia="zh-CN" w:bidi="ar"/>
              </w:rPr>
              <w:t>IP67（室外）/IP40（室内），壁挂 / 桌面安装，适配普通摄像头供电3C认证</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4D1A1EA2">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28</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2D149026">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15A29D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4"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17F99C51">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21FC7A00">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 xml:space="preserve">球机电源  </w:t>
            </w:r>
          </w:p>
          <w:p w14:paraId="6E9192A0">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DC24V-5A</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7ED2F6FF">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输出 DC24V/5A，输入 AC100-240V，稳压精度 ±1%，过流、过压、过热保护，效率≥88%，工业级设计，防雷</w:t>
            </w:r>
            <w:r>
              <w:rPr>
                <w:rFonts w:hint="eastAsia" w:ascii="仿宋" w:hAnsi="仿宋" w:eastAsia="仿宋" w:cs="仿宋"/>
                <w:highlight w:val="none"/>
                <w:lang w:val="en-US" w:eastAsia="zh-CN"/>
              </w:rPr>
              <w:t>≥</w:t>
            </w:r>
            <w:r>
              <w:rPr>
                <w:rFonts w:hint="eastAsia" w:ascii="仿宋" w:hAnsi="仿宋" w:eastAsia="仿宋" w:cs="仿宋"/>
                <w:i w:val="0"/>
                <w:iCs w:val="0"/>
                <w:color w:val="000000"/>
                <w:kern w:val="0"/>
                <w:sz w:val="21"/>
                <w:szCs w:val="21"/>
                <w:highlight w:val="none"/>
                <w:u w:val="none"/>
                <w:lang w:val="en-US" w:eastAsia="zh-CN" w:bidi="ar"/>
              </w:rPr>
              <w:t>6KV，桌面式安装，适配球型云台摄像头供电；3C认证</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20ECB8BD">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61</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5D27C3CA">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5C85E0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4"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3B0A4DAA">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0355F47B">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 xml:space="preserve">开关电源  </w:t>
            </w:r>
          </w:p>
          <w:p w14:paraId="0088633C">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DC12V-10A</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3DD196F1">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输出 DC12V/10A，输入 AC100-240V，稳压输出，具备过流、过压、短路、过热四重保护，效率≥90%，金属外壳，散热风扇，机架式 / 桌面式，适配多台摄像头 / 安防设备集中供电；3C认证</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30863B2A">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107</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76CF1F82">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5AB6DD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4"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04EDC5C9">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395DEF63">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户外防水监控箱配电箱</w:t>
            </w:r>
          </w:p>
          <w:p w14:paraId="42954212">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400*300*180mm</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4BCE07F1">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尺寸 400mm×300mm×180mm</w:t>
            </w:r>
            <w:r>
              <w:rPr>
                <w:rFonts w:hint="eastAsia" w:ascii="仿宋" w:hAnsi="仿宋" w:eastAsia="仿宋" w:cs="仿宋"/>
                <w:highlight w:val="none"/>
                <w:lang w:val="en-US" w:eastAsia="zh-CN"/>
              </w:rPr>
              <w:t>（±5%）</w:t>
            </w:r>
            <w:r>
              <w:rPr>
                <w:rFonts w:hint="eastAsia" w:ascii="仿宋" w:hAnsi="仿宋" w:eastAsia="仿宋" w:cs="仿宋"/>
                <w:i w:val="0"/>
                <w:iCs w:val="0"/>
                <w:color w:val="000000"/>
                <w:kern w:val="0"/>
                <w:sz w:val="21"/>
                <w:szCs w:val="21"/>
                <w:highlight w:val="none"/>
                <w:u w:val="none"/>
                <w:lang w:val="en-US" w:eastAsia="zh-CN" w:bidi="ar"/>
              </w:rPr>
              <w:t>，冷轧钢材质，厚度≥1.2mm，表面喷塑防锈，防水等级≥ IP66，内置安装板、导轨、端子排，带锁设计，具备散热孔、防水接头，适配室外安防设备（交换机、电源）安装防护；</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41D82087">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273</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205D8306">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01BF96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4"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50CEE137">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1487712C">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户外防水监控配电箱</w:t>
            </w:r>
          </w:p>
          <w:p w14:paraId="29B4D967">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280*190*70mm</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471AAA17">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尺寸 280mm×190mm×70mm</w:t>
            </w:r>
            <w:r>
              <w:rPr>
                <w:rFonts w:hint="eastAsia" w:ascii="仿宋" w:hAnsi="仿宋" w:eastAsia="仿宋" w:cs="仿宋"/>
                <w:highlight w:val="none"/>
                <w:lang w:val="en-US" w:eastAsia="zh-CN"/>
              </w:rPr>
              <w:t>（±5%）</w:t>
            </w:r>
            <w:r>
              <w:rPr>
                <w:rFonts w:hint="eastAsia" w:ascii="仿宋" w:hAnsi="仿宋" w:eastAsia="仿宋" w:cs="仿宋"/>
                <w:i w:val="0"/>
                <w:iCs w:val="0"/>
                <w:color w:val="000000"/>
                <w:kern w:val="0"/>
                <w:sz w:val="21"/>
                <w:szCs w:val="21"/>
                <w:highlight w:val="none"/>
                <w:u w:val="none"/>
                <w:lang w:val="en-US" w:eastAsia="zh-CN" w:bidi="ar"/>
              </w:rPr>
              <w:t>，ABS / 冷轧钢材质，防水等级≥IP65，小巧便携，内置端子排、固定支架，带防水接头，适配室外小型摄像头 / 读卡器电源防护安装；</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30CD1A85">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145</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19DE6DA6">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0605AA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6"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23D38377">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75BF6FEB">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摄像机立杆</w:t>
            </w:r>
          </w:p>
          <w:p w14:paraId="381BC01B">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3.5m</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7903A82F">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高度 ≥3.5 米，镀锌钢管材质（管径≥60mm，壁厚≥2.5mm），表面热镀锌喷塑，防锈防腐，底部带法兰盘（配膨胀螺丝），中间带检修口，顶部带摄像头安装支架，抗风等级≥10 级，适配室外摄像头立杆安装</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37C20BA2">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723</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6E09A942">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51DEC2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1"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3799DB33">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35FB6F50">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立杆监控摄像头支架配套地笼</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2C704AC1">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镀锌钢材，适配 3.5m 摄像机立杆，地笼尺寸≥300X300X800mm，壁厚≥3mm，带加强筋，防腐防锈，附带固定螺栓，适配立杆混凝土预埋固定，承重≥50kg</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1250B0F9">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171</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4DACF3AE">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7FDDF9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4"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10EC8528">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1ADC564D">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网络机柜  9U</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07BE176C">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1.采用冷轧钢板；框架厚度：≥1.2mm，承重部位加强厚度 ≥1.5mm</w:t>
            </w:r>
          </w:p>
          <w:p w14:paraId="36B9AD78">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2.门板、侧板、背板材质：冷轧钢板；厚度：≥0.8mm～1.0mm</w:t>
            </w:r>
          </w:p>
          <w:p w14:paraId="39FBD67D">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3.安装立柱：冷轧钢板，厚度≥1.2mm，带标准 19 英寸安装孔；</w:t>
            </w:r>
          </w:p>
          <w:p w14:paraId="123792C9">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4.层板：厚度≥1.0mm，承重≥20kg螺丝、螺母、卡扣：镀锌防锈处理</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582F281F">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333</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2228810E">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59DE0E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6"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38AB1F87">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50BF8A80">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Style w:val="30"/>
                <w:rFonts w:hint="eastAsia" w:ascii="仿宋" w:hAnsi="仿宋" w:eastAsia="仿宋" w:cs="仿宋"/>
                <w:sz w:val="21"/>
                <w:szCs w:val="21"/>
                <w:highlight w:val="none"/>
                <w:lang w:val="en-US" w:eastAsia="zh-CN" w:bidi="ar"/>
              </w:rPr>
              <w:t>网络机柜  24U</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2747F267">
            <w:pPr>
              <w:keepNext w:val="0"/>
              <w:keepLines w:val="0"/>
              <w:pageBreakBefore w:val="0"/>
              <w:widowControl/>
              <w:kinsoku/>
              <w:wordWrap/>
              <w:overflowPunct/>
              <w:topLinePunct w:val="0"/>
              <w:autoSpaceDE/>
              <w:autoSpaceDN/>
              <w:bidi w:val="0"/>
              <w:adjustRightInd w:val="0"/>
              <w:snapToGrid w:val="0"/>
              <w:spacing w:line="520" w:lineRule="exact"/>
              <w:jc w:val="left"/>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sz w:val="21"/>
                <w:szCs w:val="21"/>
                <w:highlight w:val="none"/>
                <w:u w:val="none"/>
              </w:rPr>
              <w:t>24U 标准机柜，冷轧钢材质（框架≥1.2mm，面板≥0.8mm），前后网孔门，顶部 / 底部走线，带理线架、托盘、散热风扇，落地安装，适配中型网络 / 安防设备组网</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3F586012">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sz w:val="21"/>
                <w:szCs w:val="21"/>
                <w:highlight w:val="none"/>
                <w:u w:val="none"/>
                <w:lang w:val="en-US" w:eastAsia="zh-CN"/>
              </w:rPr>
            </w:pPr>
            <w:r>
              <w:rPr>
                <w:rFonts w:hint="eastAsia" w:ascii="仿宋" w:hAnsi="仿宋" w:eastAsia="仿宋" w:cs="仿宋"/>
                <w:i w:val="0"/>
                <w:iCs w:val="0"/>
                <w:color w:val="000000"/>
                <w:sz w:val="21"/>
                <w:szCs w:val="21"/>
                <w:highlight w:val="none"/>
                <w:u w:val="none"/>
                <w:lang w:val="en-US" w:eastAsia="zh-CN"/>
              </w:rPr>
              <w:t>1077</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05B4E049">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sz w:val="21"/>
                <w:szCs w:val="21"/>
                <w:highlight w:val="none"/>
                <w:u w:val="none"/>
                <w:lang w:val="en-US" w:eastAsia="zh-CN"/>
              </w:rPr>
            </w:pPr>
          </w:p>
        </w:tc>
      </w:tr>
      <w:tr w14:paraId="1E5F1D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6"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24CD803E">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357B5BBB">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Style w:val="30"/>
                <w:rFonts w:hint="eastAsia" w:ascii="仿宋" w:hAnsi="仿宋" w:eastAsia="仿宋" w:cs="仿宋"/>
                <w:sz w:val="21"/>
                <w:szCs w:val="21"/>
                <w:highlight w:val="none"/>
                <w:lang w:val="en-US" w:eastAsia="zh-CN" w:bidi="ar"/>
              </w:rPr>
              <w:t>网络机柜  42U</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7A3BE1CC">
            <w:pPr>
              <w:keepNext w:val="0"/>
              <w:keepLines w:val="0"/>
              <w:pageBreakBefore w:val="0"/>
              <w:widowControl/>
              <w:kinsoku/>
              <w:wordWrap/>
              <w:overflowPunct/>
              <w:topLinePunct w:val="0"/>
              <w:autoSpaceDE/>
              <w:autoSpaceDN/>
              <w:bidi w:val="0"/>
              <w:adjustRightInd w:val="0"/>
              <w:snapToGrid w:val="0"/>
              <w:spacing w:line="520" w:lineRule="exact"/>
              <w:jc w:val="left"/>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sz w:val="21"/>
                <w:szCs w:val="21"/>
                <w:highlight w:val="none"/>
                <w:u w:val="none"/>
              </w:rPr>
              <w:t>42U 标准服务器机柜，冷轧钢材质（框架≥1.5mm，面板≥1.0mm），前后网孔门，钢化玻璃前门，带散热系统（顶部 / 底部风扇）、重型托盘、理线架，PDU 电源，落地安装，适配大型机房 / 监控中心设备存放</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74FA8443">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sz w:val="21"/>
                <w:szCs w:val="21"/>
                <w:highlight w:val="none"/>
                <w:u w:val="none"/>
                <w:lang w:val="en-US" w:eastAsia="zh-CN"/>
              </w:rPr>
            </w:pPr>
            <w:r>
              <w:rPr>
                <w:rFonts w:hint="eastAsia" w:ascii="仿宋" w:hAnsi="仿宋" w:eastAsia="仿宋" w:cs="仿宋"/>
                <w:i w:val="0"/>
                <w:iCs w:val="0"/>
                <w:color w:val="000000"/>
                <w:sz w:val="21"/>
                <w:szCs w:val="21"/>
                <w:highlight w:val="none"/>
                <w:u w:val="none"/>
                <w:lang w:val="en-US" w:eastAsia="zh-CN"/>
              </w:rPr>
              <w:t>2500</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3EB041A4">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sz w:val="21"/>
                <w:szCs w:val="21"/>
                <w:highlight w:val="none"/>
                <w:u w:val="none"/>
                <w:lang w:val="en-US" w:eastAsia="zh-CN"/>
              </w:rPr>
            </w:pPr>
          </w:p>
        </w:tc>
      </w:tr>
      <w:tr w14:paraId="4F9A78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6"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1C608DA8">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06AB238D">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出入口控制机</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416119EB">
            <w:pPr>
              <w:keepNext w:val="0"/>
              <w:keepLines w:val="0"/>
              <w:pageBreakBefore w:val="0"/>
              <w:widowControl/>
              <w:kinsoku/>
              <w:wordWrap/>
              <w:overflowPunct/>
              <w:topLinePunct w:val="0"/>
              <w:autoSpaceDE/>
              <w:autoSpaceDN/>
              <w:bidi w:val="0"/>
              <w:adjustRightInd w:val="0"/>
              <w:snapToGrid w:val="0"/>
              <w:spacing w:line="520" w:lineRule="exact"/>
              <w:jc w:val="left"/>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sz w:val="21"/>
                <w:szCs w:val="21"/>
                <w:highlight w:val="none"/>
                <w:u w:val="none"/>
              </w:rPr>
              <w:t>支持车牌识别 / 刷卡 / 扫码开门，高清摄像头（≥200 万像素），显示屏（≥7 英寸），语音播报，TCP/IP 通讯，防水等级 ≥IP65，铝合金外壳，DC12V/24V 供电，可联动道闸，支持车牌库管理、临时车计费，适配停车场出入口</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66328B1F">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sz w:val="21"/>
                <w:szCs w:val="21"/>
                <w:highlight w:val="none"/>
                <w:u w:val="none"/>
                <w:lang w:val="en-US" w:eastAsia="zh-CN"/>
              </w:rPr>
            </w:pPr>
            <w:r>
              <w:rPr>
                <w:rFonts w:hint="eastAsia" w:ascii="仿宋" w:hAnsi="仿宋" w:eastAsia="仿宋" w:cs="仿宋"/>
                <w:i w:val="0"/>
                <w:iCs w:val="0"/>
                <w:color w:val="000000"/>
                <w:sz w:val="21"/>
                <w:szCs w:val="21"/>
                <w:highlight w:val="none"/>
                <w:u w:val="none"/>
                <w:lang w:val="en-US" w:eastAsia="zh-CN"/>
              </w:rPr>
              <w:t>4475</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0FDBA38A">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sz w:val="21"/>
                <w:szCs w:val="21"/>
                <w:highlight w:val="none"/>
                <w:u w:val="none"/>
                <w:lang w:val="en-US" w:eastAsia="zh-CN"/>
              </w:rPr>
            </w:pPr>
          </w:p>
        </w:tc>
      </w:tr>
      <w:tr w14:paraId="4F423E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6"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39CE6642">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0C335F64">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数字式道闸</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09559271">
            <w:pPr>
              <w:keepNext w:val="0"/>
              <w:keepLines w:val="0"/>
              <w:pageBreakBefore w:val="0"/>
              <w:widowControl/>
              <w:kinsoku/>
              <w:wordWrap/>
              <w:overflowPunct/>
              <w:topLinePunct w:val="0"/>
              <w:autoSpaceDE/>
              <w:autoSpaceDN/>
              <w:bidi w:val="0"/>
              <w:adjustRightInd w:val="0"/>
              <w:snapToGrid w:val="0"/>
              <w:spacing w:line="520" w:lineRule="exact"/>
              <w:jc w:val="left"/>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sz w:val="21"/>
                <w:szCs w:val="21"/>
                <w:highlight w:val="none"/>
                <w:u w:val="none"/>
              </w:rPr>
              <w:t>直杆 / 曲臂 / 栅栏可选，起降速度 0.6-6 秒可调，电机功率≥150W，DC24V 直流无刷电机，具备遇阻反弹、过热保护，防水等级 ≥IP65，铝合金闸杆，支持远程控制、地感线圈联动，适配停车场 / 小区出入口</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372FFAC9">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sz w:val="21"/>
                <w:szCs w:val="21"/>
                <w:highlight w:val="none"/>
                <w:u w:val="none"/>
                <w:lang w:val="en-US" w:eastAsia="zh-CN"/>
              </w:rPr>
            </w:pPr>
            <w:r>
              <w:rPr>
                <w:rFonts w:hint="eastAsia" w:ascii="仿宋" w:hAnsi="仿宋" w:eastAsia="仿宋" w:cs="仿宋"/>
                <w:i w:val="0"/>
                <w:iCs w:val="0"/>
                <w:color w:val="000000"/>
                <w:sz w:val="21"/>
                <w:szCs w:val="21"/>
                <w:highlight w:val="none"/>
                <w:u w:val="none"/>
                <w:lang w:val="en-US" w:eastAsia="zh-CN"/>
              </w:rPr>
              <w:t>4720</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11701871">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sz w:val="21"/>
                <w:szCs w:val="21"/>
                <w:highlight w:val="none"/>
                <w:u w:val="none"/>
                <w:lang w:val="en-US" w:eastAsia="zh-CN"/>
              </w:rPr>
            </w:pPr>
          </w:p>
        </w:tc>
      </w:tr>
      <w:tr w14:paraId="5730E1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6"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72E1A3B8">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02BC60EC">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出口高清车牌识别摄像机</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6F17D4B4">
            <w:pPr>
              <w:keepNext w:val="0"/>
              <w:keepLines w:val="0"/>
              <w:pageBreakBefore w:val="0"/>
              <w:widowControl/>
              <w:kinsoku/>
              <w:wordWrap/>
              <w:overflowPunct/>
              <w:topLinePunct w:val="0"/>
              <w:autoSpaceDE/>
              <w:autoSpaceDN/>
              <w:bidi w:val="0"/>
              <w:adjustRightInd w:val="0"/>
              <w:snapToGrid w:val="0"/>
              <w:spacing w:line="520" w:lineRule="exact"/>
              <w:jc w:val="left"/>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sz w:val="21"/>
                <w:szCs w:val="21"/>
                <w:highlight w:val="none"/>
                <w:u w:val="none"/>
              </w:rPr>
              <w:t>200 万 / 400 万像素可选，高清车牌识别，识别率≥99%（白天）/≥98%（夜间），支持蓝牌 / 黄牌 / 新能源车牌，红外补光，防水等级 ≥IP67，POE 供电，TCP/IP 通讯，兼容主流出入口控制机，适配停车场出口车牌识别</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18C21575">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sz w:val="21"/>
                <w:szCs w:val="21"/>
                <w:highlight w:val="none"/>
                <w:u w:val="none"/>
                <w:lang w:val="en-US" w:eastAsia="zh-CN"/>
              </w:rPr>
            </w:pPr>
            <w:r>
              <w:rPr>
                <w:rFonts w:hint="eastAsia" w:ascii="仿宋" w:hAnsi="仿宋" w:eastAsia="仿宋" w:cs="仿宋"/>
                <w:i w:val="0"/>
                <w:iCs w:val="0"/>
                <w:color w:val="000000"/>
                <w:sz w:val="21"/>
                <w:szCs w:val="21"/>
                <w:highlight w:val="none"/>
                <w:u w:val="none"/>
                <w:lang w:val="en-US" w:eastAsia="zh-CN"/>
              </w:rPr>
              <w:t>3000</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7D3A88C5">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sz w:val="21"/>
                <w:szCs w:val="21"/>
                <w:highlight w:val="none"/>
                <w:u w:val="none"/>
                <w:lang w:val="en-US" w:eastAsia="zh-CN"/>
              </w:rPr>
            </w:pPr>
          </w:p>
        </w:tc>
      </w:tr>
      <w:tr w14:paraId="4591D7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1"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593CA56B">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00960754">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道闸直杆</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62789AEE">
            <w:pPr>
              <w:keepNext w:val="0"/>
              <w:keepLines w:val="0"/>
              <w:pageBreakBefore w:val="0"/>
              <w:widowControl/>
              <w:kinsoku/>
              <w:wordWrap/>
              <w:overflowPunct/>
              <w:topLinePunct w:val="0"/>
              <w:autoSpaceDE/>
              <w:autoSpaceDN/>
              <w:bidi w:val="0"/>
              <w:adjustRightInd w:val="0"/>
              <w:snapToGrid w:val="0"/>
              <w:spacing w:line="520" w:lineRule="exact"/>
              <w:jc w:val="left"/>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sz w:val="21"/>
                <w:szCs w:val="21"/>
                <w:highlight w:val="none"/>
                <w:u w:val="none"/>
              </w:rPr>
              <w:t>铝合金材质，长度 3-6 米可选，表面贴反光条，抗风抗折，适配数字式道闸，可配杆头灯，安装便捷，耐高低温</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23E0FDD0">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sz w:val="21"/>
                <w:szCs w:val="21"/>
                <w:highlight w:val="none"/>
                <w:u w:val="none"/>
                <w:lang w:val="en-US" w:eastAsia="zh-CN"/>
              </w:rPr>
            </w:pPr>
            <w:r>
              <w:rPr>
                <w:rFonts w:hint="eastAsia" w:ascii="仿宋" w:hAnsi="仿宋" w:eastAsia="仿宋" w:cs="仿宋"/>
                <w:i w:val="0"/>
                <w:iCs w:val="0"/>
                <w:color w:val="000000"/>
                <w:sz w:val="21"/>
                <w:szCs w:val="21"/>
                <w:highlight w:val="none"/>
                <w:u w:val="none"/>
                <w:lang w:val="en-US" w:eastAsia="zh-CN"/>
              </w:rPr>
              <w:t>2770</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7B6ECF9C">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sz w:val="21"/>
                <w:szCs w:val="21"/>
                <w:highlight w:val="none"/>
                <w:u w:val="none"/>
                <w:lang w:val="en-US" w:eastAsia="zh-CN"/>
              </w:rPr>
            </w:pPr>
          </w:p>
        </w:tc>
      </w:tr>
      <w:tr w14:paraId="57C3CB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6"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48094716">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38C726FA">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79G雷达</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1970387D">
            <w:pPr>
              <w:keepNext w:val="0"/>
              <w:keepLines w:val="0"/>
              <w:pageBreakBefore w:val="0"/>
              <w:widowControl/>
              <w:kinsoku/>
              <w:wordWrap/>
              <w:overflowPunct/>
              <w:topLinePunct w:val="0"/>
              <w:autoSpaceDE/>
              <w:autoSpaceDN/>
              <w:bidi w:val="0"/>
              <w:adjustRightInd w:val="0"/>
              <w:snapToGrid w:val="0"/>
              <w:spacing w:line="520" w:lineRule="exact"/>
              <w:jc w:val="left"/>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sz w:val="21"/>
                <w:szCs w:val="21"/>
                <w:highlight w:val="none"/>
                <w:u w:val="none"/>
              </w:rPr>
              <w:t>79GHz 毫米波雷达，探测距离 0.5-10 米，探测角度≥90°，支持车辆 / 行人检测，防砸道闸专用，响应时间≤100ms，防水</w:t>
            </w:r>
            <w:r>
              <w:rPr>
                <w:rFonts w:hint="eastAsia" w:ascii="仿宋" w:hAnsi="仿宋" w:eastAsia="仿宋" w:cs="仿宋"/>
                <w:i w:val="0"/>
                <w:iCs w:val="0"/>
                <w:color w:val="000000"/>
                <w:sz w:val="21"/>
                <w:szCs w:val="21"/>
                <w:highlight w:val="none"/>
                <w:u w:val="none"/>
                <w:lang w:val="en-US" w:eastAsia="zh-CN"/>
              </w:rPr>
              <w:t>等级</w:t>
            </w:r>
            <w:r>
              <w:rPr>
                <w:rFonts w:hint="eastAsia" w:ascii="仿宋" w:hAnsi="仿宋" w:eastAsia="仿宋" w:cs="仿宋"/>
                <w:i w:val="0"/>
                <w:iCs w:val="0"/>
                <w:color w:val="000000"/>
                <w:sz w:val="21"/>
                <w:szCs w:val="21"/>
                <w:highlight w:val="none"/>
                <w:u w:val="none"/>
              </w:rPr>
              <w:t>≥IP67，DC12V/24V 供电，可联动道闸控制器，抗强光 / 雨雪 / 雾天干扰</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41E8546C">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sz w:val="21"/>
                <w:szCs w:val="21"/>
                <w:highlight w:val="none"/>
                <w:u w:val="none"/>
                <w:lang w:val="en-US" w:eastAsia="zh-CN"/>
              </w:rPr>
            </w:pPr>
            <w:r>
              <w:rPr>
                <w:rFonts w:hint="eastAsia" w:ascii="仿宋" w:hAnsi="仿宋" w:eastAsia="仿宋" w:cs="仿宋"/>
                <w:i w:val="0"/>
                <w:iCs w:val="0"/>
                <w:color w:val="000000"/>
                <w:sz w:val="21"/>
                <w:szCs w:val="21"/>
                <w:highlight w:val="none"/>
                <w:u w:val="none"/>
                <w:lang w:val="en-US" w:eastAsia="zh-CN"/>
              </w:rPr>
              <w:t>689</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7DA1EE3A">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sz w:val="21"/>
                <w:szCs w:val="21"/>
                <w:highlight w:val="none"/>
                <w:u w:val="none"/>
                <w:lang w:val="en-US" w:eastAsia="zh-CN"/>
              </w:rPr>
            </w:pPr>
          </w:p>
        </w:tc>
      </w:tr>
      <w:tr w14:paraId="6DB678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4"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3C8581F1">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7D1BFF68">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入侵探测器（室内）</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6475CC09">
            <w:pPr>
              <w:keepNext w:val="0"/>
              <w:keepLines w:val="0"/>
              <w:pageBreakBefore w:val="0"/>
              <w:widowControl/>
              <w:kinsoku/>
              <w:wordWrap/>
              <w:overflowPunct/>
              <w:topLinePunct w:val="0"/>
              <w:autoSpaceDE/>
              <w:autoSpaceDN/>
              <w:bidi w:val="0"/>
              <w:adjustRightInd w:val="0"/>
              <w:snapToGrid w:val="0"/>
              <w:spacing w:line="520" w:lineRule="exact"/>
              <w:jc w:val="left"/>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sz w:val="21"/>
                <w:szCs w:val="21"/>
                <w:highlight w:val="none"/>
                <w:u w:val="none"/>
              </w:rPr>
              <w:t>红外 + 微波双鉴探测，探测距离≥10 米，探测角度 120°，DC12V 供电，低功耗，具备防宠物功能（≥20kg），86 底盒安装，可联动报警主机，防拆报警，适配室内入侵检测</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070E7C87">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sz w:val="21"/>
                <w:szCs w:val="21"/>
                <w:highlight w:val="none"/>
                <w:u w:val="none"/>
                <w:lang w:val="en-US" w:eastAsia="zh-CN"/>
              </w:rPr>
            </w:pPr>
            <w:r>
              <w:rPr>
                <w:rFonts w:hint="eastAsia" w:ascii="仿宋" w:hAnsi="仿宋" w:eastAsia="仿宋" w:cs="仿宋"/>
                <w:i w:val="0"/>
                <w:iCs w:val="0"/>
                <w:color w:val="000000"/>
                <w:sz w:val="21"/>
                <w:szCs w:val="21"/>
                <w:highlight w:val="none"/>
                <w:u w:val="none"/>
                <w:lang w:val="en-US" w:eastAsia="zh-CN"/>
              </w:rPr>
              <w:t>316</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24ADDA1A">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sz w:val="21"/>
                <w:szCs w:val="21"/>
                <w:highlight w:val="none"/>
                <w:u w:val="none"/>
                <w:lang w:val="en-US" w:eastAsia="zh-CN"/>
              </w:rPr>
            </w:pPr>
          </w:p>
        </w:tc>
      </w:tr>
      <w:tr w14:paraId="0F438B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4"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3024BC54">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50B2AA8D">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入侵探测器（室外）</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110307D5">
            <w:pPr>
              <w:keepNext w:val="0"/>
              <w:keepLines w:val="0"/>
              <w:pageBreakBefore w:val="0"/>
              <w:widowControl/>
              <w:kinsoku/>
              <w:wordWrap/>
              <w:overflowPunct/>
              <w:topLinePunct w:val="0"/>
              <w:autoSpaceDE/>
              <w:autoSpaceDN/>
              <w:bidi w:val="0"/>
              <w:adjustRightInd w:val="0"/>
              <w:snapToGrid w:val="0"/>
              <w:spacing w:line="520" w:lineRule="exact"/>
              <w:jc w:val="left"/>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sz w:val="21"/>
                <w:szCs w:val="21"/>
                <w:highlight w:val="none"/>
                <w:u w:val="none"/>
              </w:rPr>
              <w:t>红外对射 / 微波探测，探测距离≥20 米，防水等级≥ IP67，DC12V 供电，抗强光、雨雪、雾天，具备防拆、防遮挡报警，可联动报警主机，适配室外围墙 / 区域入侵检测</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01791ED8">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sz w:val="21"/>
                <w:szCs w:val="21"/>
                <w:highlight w:val="none"/>
                <w:u w:val="none"/>
                <w:lang w:val="en-US" w:eastAsia="zh-CN"/>
              </w:rPr>
            </w:pPr>
            <w:r>
              <w:rPr>
                <w:rFonts w:hint="eastAsia" w:ascii="仿宋" w:hAnsi="仿宋" w:eastAsia="仿宋" w:cs="仿宋"/>
                <w:i w:val="0"/>
                <w:iCs w:val="0"/>
                <w:color w:val="000000"/>
                <w:sz w:val="21"/>
                <w:szCs w:val="21"/>
                <w:highlight w:val="none"/>
                <w:u w:val="none"/>
                <w:lang w:val="en-US" w:eastAsia="zh-CN"/>
              </w:rPr>
              <w:t>462</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79B7D796">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sz w:val="21"/>
                <w:szCs w:val="21"/>
                <w:highlight w:val="none"/>
                <w:u w:val="none"/>
                <w:lang w:val="en-US" w:eastAsia="zh-CN"/>
              </w:rPr>
            </w:pPr>
          </w:p>
        </w:tc>
      </w:tr>
      <w:tr w14:paraId="135738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4"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52663E9F">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14BCBECC">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无线信号放大器</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57E12484">
            <w:pPr>
              <w:keepNext w:val="0"/>
              <w:keepLines w:val="0"/>
              <w:pageBreakBefore w:val="0"/>
              <w:widowControl/>
              <w:kinsoku/>
              <w:wordWrap/>
              <w:overflowPunct/>
              <w:topLinePunct w:val="0"/>
              <w:autoSpaceDE/>
              <w:autoSpaceDN/>
              <w:bidi w:val="0"/>
              <w:adjustRightInd w:val="0"/>
              <w:snapToGrid w:val="0"/>
              <w:spacing w:line="520" w:lineRule="exact"/>
              <w:jc w:val="left"/>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sz w:val="21"/>
                <w:szCs w:val="21"/>
                <w:highlight w:val="none"/>
                <w:u w:val="none"/>
              </w:rPr>
              <w:t>支持 WiFi/433MHz 无线信号放大，放大增益≥20dB，有效覆盖范围≥100 米，即插即用，DC5V/12V 供电，壁挂 / 桌面安装，抗干扰，适配无线报警 / 监控系统信号增强</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5CF0FD86">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sz w:val="21"/>
                <w:szCs w:val="21"/>
                <w:highlight w:val="none"/>
                <w:u w:val="none"/>
                <w:lang w:val="en-US" w:eastAsia="zh-CN"/>
              </w:rPr>
            </w:pPr>
            <w:r>
              <w:rPr>
                <w:rFonts w:hint="eastAsia" w:ascii="仿宋" w:hAnsi="仿宋" w:eastAsia="仿宋" w:cs="仿宋"/>
                <w:i w:val="0"/>
                <w:iCs w:val="0"/>
                <w:color w:val="000000"/>
                <w:sz w:val="21"/>
                <w:szCs w:val="21"/>
                <w:highlight w:val="none"/>
                <w:u w:val="none"/>
                <w:lang w:val="en-US" w:eastAsia="zh-CN"/>
              </w:rPr>
              <w:t>790</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422B82D5">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sz w:val="21"/>
                <w:szCs w:val="21"/>
                <w:highlight w:val="none"/>
                <w:u w:val="none"/>
                <w:lang w:val="en-US" w:eastAsia="zh-CN"/>
              </w:rPr>
            </w:pPr>
          </w:p>
        </w:tc>
      </w:tr>
      <w:tr w14:paraId="4A4A6B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6"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557EC0F4">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017B63E2">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有线报警主机</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6AF0A958">
            <w:pPr>
              <w:keepNext w:val="0"/>
              <w:keepLines w:val="0"/>
              <w:pageBreakBefore w:val="0"/>
              <w:widowControl/>
              <w:kinsoku/>
              <w:wordWrap/>
              <w:overflowPunct/>
              <w:topLinePunct w:val="0"/>
              <w:autoSpaceDE/>
              <w:autoSpaceDN/>
              <w:bidi w:val="0"/>
              <w:adjustRightInd w:val="0"/>
              <w:snapToGrid w:val="0"/>
              <w:spacing w:line="520" w:lineRule="exact"/>
              <w:jc w:val="left"/>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sz w:val="21"/>
                <w:szCs w:val="21"/>
                <w:highlight w:val="none"/>
                <w:u w:val="none"/>
              </w:rPr>
              <w:t>支持≥16 路有线防区，可扩展至 64 路，DC12V 供电，备电接口（适配 12V 蓄电池），支持声光报警、远程报警，联动门禁 / 监控系统，具备防拆、短路保护，存储报警记录≥1万条，86底盒/机架式安装</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2C4064CD">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sz w:val="21"/>
                <w:szCs w:val="21"/>
                <w:highlight w:val="none"/>
                <w:u w:val="none"/>
                <w:lang w:val="en-US" w:eastAsia="zh-CN"/>
              </w:rPr>
            </w:pPr>
            <w:r>
              <w:rPr>
                <w:rFonts w:hint="eastAsia" w:ascii="仿宋" w:hAnsi="仿宋" w:eastAsia="仿宋" w:cs="仿宋"/>
                <w:i w:val="0"/>
                <w:iCs w:val="0"/>
                <w:color w:val="000000"/>
                <w:sz w:val="21"/>
                <w:szCs w:val="21"/>
                <w:highlight w:val="none"/>
                <w:u w:val="none"/>
                <w:lang w:val="en-US" w:eastAsia="zh-CN"/>
              </w:rPr>
              <w:t>2600</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3493DFB9">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sz w:val="21"/>
                <w:szCs w:val="21"/>
                <w:highlight w:val="none"/>
                <w:u w:val="none"/>
                <w:lang w:val="en-US" w:eastAsia="zh-CN"/>
              </w:rPr>
            </w:pPr>
          </w:p>
        </w:tc>
      </w:tr>
      <w:tr w14:paraId="684041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4"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2AFA2592">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1A2B339B">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红外对射探测器</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02C3AE51">
            <w:pPr>
              <w:keepNext w:val="0"/>
              <w:keepLines w:val="0"/>
              <w:pageBreakBefore w:val="0"/>
              <w:widowControl/>
              <w:kinsoku/>
              <w:wordWrap/>
              <w:overflowPunct/>
              <w:topLinePunct w:val="0"/>
              <w:autoSpaceDE/>
              <w:autoSpaceDN/>
              <w:bidi w:val="0"/>
              <w:adjustRightInd w:val="0"/>
              <w:snapToGrid w:val="0"/>
              <w:spacing w:line="520" w:lineRule="exact"/>
              <w:jc w:val="left"/>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sz w:val="21"/>
                <w:szCs w:val="21"/>
                <w:highlight w:val="none"/>
                <w:u w:val="none"/>
              </w:rPr>
              <w:t>双光束 / 四光束可选，探测距离≥50 米，工作电压 DC12-24V，红外发射接收，防水等级 ≥IP67，抗强光、抗干扰，具备防拆、防遮挡报警，适配室外围墙、边界入侵检测</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0737933A">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sz w:val="21"/>
                <w:szCs w:val="21"/>
                <w:highlight w:val="none"/>
                <w:u w:val="none"/>
                <w:lang w:val="en-US" w:eastAsia="zh-CN"/>
              </w:rPr>
            </w:pPr>
            <w:r>
              <w:rPr>
                <w:rFonts w:hint="eastAsia" w:ascii="仿宋" w:hAnsi="仿宋" w:eastAsia="仿宋" w:cs="仿宋"/>
                <w:i w:val="0"/>
                <w:iCs w:val="0"/>
                <w:color w:val="000000"/>
                <w:sz w:val="21"/>
                <w:szCs w:val="21"/>
                <w:highlight w:val="none"/>
                <w:u w:val="none"/>
                <w:lang w:val="en-US" w:eastAsia="zh-CN"/>
              </w:rPr>
              <w:t>719</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6E9C8992">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sz w:val="21"/>
                <w:szCs w:val="21"/>
                <w:highlight w:val="none"/>
                <w:u w:val="none"/>
                <w:lang w:val="en-US" w:eastAsia="zh-CN"/>
              </w:rPr>
            </w:pPr>
          </w:p>
        </w:tc>
      </w:tr>
      <w:tr w14:paraId="07F188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4"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23C4F703">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0505FB23">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光纤跳线</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21CFA8C6">
            <w:pPr>
              <w:keepNext w:val="0"/>
              <w:keepLines w:val="0"/>
              <w:pageBreakBefore w:val="0"/>
              <w:widowControl/>
              <w:kinsoku/>
              <w:wordWrap/>
              <w:overflowPunct/>
              <w:topLinePunct w:val="0"/>
              <w:autoSpaceDE/>
              <w:autoSpaceDN/>
              <w:bidi w:val="0"/>
              <w:adjustRightInd w:val="0"/>
              <w:snapToGrid w:val="0"/>
              <w:spacing w:line="520" w:lineRule="exact"/>
              <w:jc w:val="left"/>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sz w:val="21"/>
                <w:szCs w:val="21"/>
                <w:highlight w:val="none"/>
                <w:u w:val="none"/>
              </w:rPr>
              <w:t>单模 / 多模可选，SC-SC/FC-FC/LC-LC 接口，线径 3.0mm，长度 1-30 米可选，低损耗（≤0.3dB/km），抗拉抗压，外被阻燃，适配光纤收发器 / 终端盒熔接跳线</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3FF004E8">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sz w:val="21"/>
                <w:szCs w:val="21"/>
                <w:highlight w:val="none"/>
                <w:u w:val="none"/>
                <w:lang w:val="en-US" w:eastAsia="zh-CN"/>
              </w:rPr>
            </w:pPr>
            <w:r>
              <w:rPr>
                <w:rFonts w:hint="eastAsia" w:ascii="仿宋" w:hAnsi="仿宋" w:eastAsia="仿宋" w:cs="仿宋"/>
                <w:i w:val="0"/>
                <w:iCs w:val="0"/>
                <w:color w:val="000000"/>
                <w:sz w:val="21"/>
                <w:szCs w:val="21"/>
                <w:highlight w:val="none"/>
                <w:u w:val="none"/>
                <w:lang w:val="en-US" w:eastAsia="zh-CN"/>
              </w:rPr>
              <w:t>11</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59A911B5">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sz w:val="21"/>
                <w:szCs w:val="21"/>
                <w:highlight w:val="none"/>
                <w:u w:val="none"/>
                <w:lang w:val="en-US" w:eastAsia="zh-CN"/>
              </w:rPr>
            </w:pPr>
          </w:p>
        </w:tc>
      </w:tr>
      <w:tr w14:paraId="58795A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4"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489E1F2D">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400C0CA8">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手持金属探测器</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6EE55732">
            <w:pPr>
              <w:keepNext w:val="0"/>
              <w:keepLines w:val="0"/>
              <w:pageBreakBefore w:val="0"/>
              <w:widowControl/>
              <w:kinsoku/>
              <w:wordWrap/>
              <w:overflowPunct/>
              <w:topLinePunct w:val="0"/>
              <w:autoSpaceDE/>
              <w:autoSpaceDN/>
              <w:bidi w:val="0"/>
              <w:adjustRightInd w:val="0"/>
              <w:snapToGrid w:val="0"/>
              <w:spacing w:line="520" w:lineRule="exact"/>
              <w:jc w:val="left"/>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sz w:val="21"/>
                <w:szCs w:val="21"/>
                <w:highlight w:val="none"/>
                <w:u w:val="none"/>
              </w:rPr>
              <w:t>电磁感应式，探测灵敏度可调节（可探测回形针 / 刀片），声光振动报警，工作电压 9V 电池，续航≥40 小时，重量≤0.5kg，便携易操作，适配安检场景金属检测</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4998306E">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sz w:val="21"/>
                <w:szCs w:val="21"/>
                <w:highlight w:val="none"/>
                <w:u w:val="none"/>
                <w:lang w:val="en-US" w:eastAsia="zh-CN"/>
              </w:rPr>
            </w:pPr>
            <w:r>
              <w:rPr>
                <w:rFonts w:hint="eastAsia" w:ascii="仿宋" w:hAnsi="仿宋" w:eastAsia="仿宋" w:cs="仿宋"/>
                <w:i w:val="0"/>
                <w:iCs w:val="0"/>
                <w:color w:val="000000"/>
                <w:sz w:val="21"/>
                <w:szCs w:val="21"/>
                <w:highlight w:val="none"/>
                <w:u w:val="none"/>
                <w:lang w:val="en-US" w:eastAsia="zh-CN"/>
              </w:rPr>
              <w:t>388</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30F9AA15">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sz w:val="21"/>
                <w:szCs w:val="21"/>
                <w:highlight w:val="none"/>
                <w:u w:val="none"/>
                <w:lang w:val="en-US" w:eastAsia="zh-CN"/>
              </w:rPr>
            </w:pPr>
          </w:p>
        </w:tc>
      </w:tr>
      <w:tr w14:paraId="0D4AF2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1"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3C54C757">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5B3FF890">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防爆头盔</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70BA2594">
            <w:pPr>
              <w:keepNext w:val="0"/>
              <w:keepLines w:val="0"/>
              <w:pageBreakBefore w:val="0"/>
              <w:widowControl/>
              <w:kinsoku/>
              <w:wordWrap/>
              <w:overflowPunct/>
              <w:topLinePunct w:val="0"/>
              <w:autoSpaceDE/>
              <w:autoSpaceDN/>
              <w:bidi w:val="0"/>
              <w:adjustRightInd w:val="0"/>
              <w:snapToGrid w:val="0"/>
              <w:spacing w:line="520" w:lineRule="exact"/>
              <w:jc w:val="left"/>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w:t>
            </w:r>
            <w:r>
              <w:rPr>
                <w:rFonts w:hint="eastAsia" w:ascii="仿宋" w:hAnsi="仿宋" w:eastAsia="仿宋" w:cs="仿宋"/>
                <w:i w:val="0"/>
                <w:iCs w:val="0"/>
                <w:color w:val="000000"/>
                <w:sz w:val="21"/>
                <w:szCs w:val="21"/>
                <w:highlight w:val="none"/>
                <w:u w:val="none"/>
              </w:rPr>
              <w:t>玻璃钢 / 凯夫拉材质，防砸、防穿刺，符合</w:t>
            </w:r>
            <w:r>
              <w:rPr>
                <w:rFonts w:hint="eastAsia" w:ascii="仿宋" w:hAnsi="仿宋" w:eastAsia="仿宋" w:cs="仿宋"/>
                <w:highlight w:val="none"/>
                <w:lang w:val="en-US" w:eastAsia="zh-CN"/>
              </w:rPr>
              <w:t>《警用防暴头盔》</w:t>
            </w:r>
            <w:r>
              <w:rPr>
                <w:rFonts w:hint="eastAsia" w:ascii="仿宋" w:hAnsi="仿宋" w:eastAsia="仿宋" w:cs="仿宋"/>
                <w:i w:val="0"/>
                <w:iCs w:val="0"/>
                <w:color w:val="000000"/>
                <w:sz w:val="21"/>
                <w:szCs w:val="21"/>
                <w:highlight w:val="none"/>
                <w:u w:val="none"/>
              </w:rPr>
              <w:t xml:space="preserve"> GA294-20</w:t>
            </w:r>
            <w:r>
              <w:rPr>
                <w:rFonts w:hint="eastAsia" w:ascii="仿宋" w:hAnsi="仿宋" w:eastAsia="仿宋" w:cs="仿宋"/>
                <w:i w:val="0"/>
                <w:iCs w:val="0"/>
                <w:color w:val="000000"/>
                <w:sz w:val="21"/>
                <w:szCs w:val="21"/>
                <w:highlight w:val="none"/>
                <w:u w:val="none"/>
                <w:lang w:val="en-US" w:eastAsia="zh-CN"/>
              </w:rPr>
              <w:t>23</w:t>
            </w:r>
            <w:r>
              <w:rPr>
                <w:rFonts w:hint="eastAsia" w:ascii="仿宋" w:hAnsi="仿宋" w:eastAsia="仿宋" w:cs="仿宋"/>
                <w:i w:val="0"/>
                <w:iCs w:val="0"/>
                <w:color w:val="000000"/>
                <w:sz w:val="21"/>
                <w:szCs w:val="21"/>
                <w:highlight w:val="none"/>
                <w:u w:val="none"/>
              </w:rPr>
              <w:t xml:space="preserve"> 标准，重量≤1.5kg，带透气孔，适配安保人员头部防护，可搭配面罩</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1FFE9B64">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sz w:val="21"/>
                <w:szCs w:val="21"/>
                <w:highlight w:val="none"/>
                <w:u w:val="none"/>
                <w:lang w:val="en-US" w:eastAsia="zh-CN"/>
              </w:rPr>
            </w:pPr>
            <w:r>
              <w:rPr>
                <w:rFonts w:hint="eastAsia" w:ascii="仿宋" w:hAnsi="仿宋" w:eastAsia="仿宋" w:cs="仿宋"/>
                <w:i w:val="0"/>
                <w:iCs w:val="0"/>
                <w:color w:val="000000"/>
                <w:sz w:val="21"/>
                <w:szCs w:val="21"/>
                <w:highlight w:val="none"/>
                <w:u w:val="none"/>
                <w:lang w:val="en-US" w:eastAsia="zh-CN"/>
              </w:rPr>
              <w:t>174</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7A10E598">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sz w:val="21"/>
                <w:szCs w:val="21"/>
                <w:highlight w:val="none"/>
                <w:u w:val="none"/>
                <w:lang w:val="en-US" w:eastAsia="zh-CN"/>
              </w:rPr>
            </w:pPr>
          </w:p>
        </w:tc>
      </w:tr>
      <w:tr w14:paraId="0A579D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1"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33A23DC0">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52F748B5">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硬质防刺服</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2B6B652A">
            <w:pPr>
              <w:keepNext w:val="0"/>
              <w:keepLines w:val="0"/>
              <w:pageBreakBefore w:val="0"/>
              <w:widowControl/>
              <w:kinsoku/>
              <w:wordWrap/>
              <w:overflowPunct/>
              <w:topLinePunct w:val="0"/>
              <w:autoSpaceDE/>
              <w:autoSpaceDN/>
              <w:bidi w:val="0"/>
              <w:adjustRightInd w:val="0"/>
              <w:snapToGrid w:val="0"/>
              <w:spacing w:line="520" w:lineRule="exact"/>
              <w:jc w:val="left"/>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w:t>
            </w:r>
            <w:r>
              <w:rPr>
                <w:rFonts w:hint="eastAsia" w:ascii="仿宋" w:hAnsi="仿宋" w:eastAsia="仿宋" w:cs="仿宋"/>
                <w:i w:val="0"/>
                <w:iCs w:val="0"/>
                <w:color w:val="000000"/>
                <w:sz w:val="21"/>
                <w:szCs w:val="21"/>
                <w:highlight w:val="none"/>
                <w:u w:val="none"/>
              </w:rPr>
              <w:t>硬质合金片防护，防刺、防砍，符合</w:t>
            </w:r>
            <w:r>
              <w:rPr>
                <w:rFonts w:hint="eastAsia" w:ascii="仿宋" w:hAnsi="仿宋" w:eastAsia="仿宋" w:cs="仿宋"/>
                <w:highlight w:val="none"/>
                <w:lang w:val="en-US" w:eastAsia="zh-CN"/>
              </w:rPr>
              <w:t>《警用防刺服》（GA68-2024）</w:t>
            </w:r>
            <w:r>
              <w:rPr>
                <w:rFonts w:hint="eastAsia" w:ascii="仿宋" w:hAnsi="仿宋" w:eastAsia="仿宋" w:cs="仿宋"/>
                <w:i w:val="0"/>
                <w:iCs w:val="0"/>
                <w:color w:val="000000"/>
                <w:sz w:val="21"/>
                <w:szCs w:val="21"/>
                <w:highlight w:val="none"/>
                <w:u w:val="none"/>
              </w:rPr>
              <w:t xml:space="preserve"> 标准，防护面积≥0.3㎡，重量≤5kg，适配安保人员躯干防护</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3B50F4E1">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sz w:val="21"/>
                <w:szCs w:val="21"/>
                <w:highlight w:val="none"/>
                <w:u w:val="none"/>
                <w:lang w:val="en-US" w:eastAsia="zh-CN"/>
              </w:rPr>
            </w:pPr>
            <w:r>
              <w:rPr>
                <w:rFonts w:hint="eastAsia" w:ascii="仿宋" w:hAnsi="仿宋" w:eastAsia="仿宋" w:cs="仿宋"/>
                <w:i w:val="0"/>
                <w:iCs w:val="0"/>
                <w:color w:val="000000"/>
                <w:sz w:val="21"/>
                <w:szCs w:val="21"/>
                <w:highlight w:val="none"/>
                <w:u w:val="none"/>
                <w:lang w:val="en-US" w:eastAsia="zh-CN"/>
              </w:rPr>
              <w:t>273</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5A0EC8F2">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sz w:val="21"/>
                <w:szCs w:val="21"/>
                <w:highlight w:val="none"/>
                <w:u w:val="none"/>
                <w:lang w:val="en-US" w:eastAsia="zh-CN"/>
              </w:rPr>
            </w:pPr>
          </w:p>
        </w:tc>
      </w:tr>
      <w:tr w14:paraId="7CB6E3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1"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1318982B">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6783D9D8">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透明防爆盾牌</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2D236DA4">
            <w:pPr>
              <w:keepNext w:val="0"/>
              <w:keepLines w:val="0"/>
              <w:pageBreakBefore w:val="0"/>
              <w:widowControl/>
              <w:kinsoku/>
              <w:wordWrap/>
              <w:overflowPunct/>
              <w:topLinePunct w:val="0"/>
              <w:autoSpaceDE/>
              <w:autoSpaceDN/>
              <w:bidi w:val="0"/>
              <w:adjustRightInd w:val="0"/>
              <w:snapToGrid w:val="0"/>
              <w:spacing w:line="520" w:lineRule="exact"/>
              <w:jc w:val="left"/>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w:t>
            </w:r>
            <w:r>
              <w:rPr>
                <w:rFonts w:hint="eastAsia" w:ascii="仿宋" w:hAnsi="仿宋" w:eastAsia="仿宋" w:cs="仿宋"/>
                <w:i w:val="0"/>
                <w:iCs w:val="0"/>
                <w:color w:val="000000"/>
                <w:sz w:val="21"/>
                <w:szCs w:val="21"/>
                <w:highlight w:val="none"/>
                <w:u w:val="none"/>
              </w:rPr>
              <w:t xml:space="preserve">PC 透明材质，厚度≥5mm，防砸、防冲击，符合 </w:t>
            </w:r>
            <w:r>
              <w:rPr>
                <w:rFonts w:hint="eastAsia" w:ascii="仿宋" w:hAnsi="仿宋" w:eastAsia="仿宋" w:cs="仿宋"/>
                <w:highlight w:val="none"/>
                <w:lang w:val="en-US" w:eastAsia="zh-CN"/>
              </w:rPr>
              <w:t>《警用防暴盾牌》（</w:t>
            </w:r>
            <w:r>
              <w:rPr>
                <w:rFonts w:hint="eastAsia" w:ascii="仿宋" w:hAnsi="仿宋" w:eastAsia="仿宋" w:cs="仿宋"/>
                <w:i w:val="0"/>
                <w:iCs w:val="0"/>
                <w:color w:val="000000"/>
                <w:sz w:val="24"/>
                <w:szCs w:val="24"/>
                <w:highlight w:val="none"/>
                <w:u w:val="none"/>
              </w:rPr>
              <w:t>GA422-20</w:t>
            </w:r>
            <w:r>
              <w:rPr>
                <w:rFonts w:hint="eastAsia" w:ascii="仿宋" w:hAnsi="仿宋" w:eastAsia="仿宋" w:cs="仿宋"/>
                <w:i w:val="0"/>
                <w:iCs w:val="0"/>
                <w:color w:val="000000"/>
                <w:sz w:val="24"/>
                <w:szCs w:val="24"/>
                <w:highlight w:val="none"/>
                <w:u w:val="none"/>
                <w:lang w:val="en-US" w:eastAsia="zh-CN"/>
              </w:rPr>
              <w:t>19</w:t>
            </w:r>
            <w:r>
              <w:rPr>
                <w:rFonts w:hint="eastAsia" w:ascii="仿宋" w:hAnsi="仿宋" w:eastAsia="仿宋" w:cs="仿宋"/>
                <w:highlight w:val="none"/>
                <w:lang w:val="en-US" w:eastAsia="zh-CN"/>
              </w:rPr>
              <w:t>）</w:t>
            </w:r>
            <w:r>
              <w:rPr>
                <w:rFonts w:hint="eastAsia" w:ascii="仿宋" w:hAnsi="仿宋" w:eastAsia="仿宋" w:cs="仿宋"/>
                <w:i w:val="0"/>
                <w:iCs w:val="0"/>
                <w:color w:val="000000"/>
                <w:sz w:val="21"/>
                <w:szCs w:val="21"/>
                <w:highlight w:val="none"/>
                <w:u w:val="none"/>
              </w:rPr>
              <w:t xml:space="preserve"> 标准，尺寸≥900mm×500mm，带手持握把，透光率≥85%，适配安保防爆防护</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5A44D29B">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sz w:val="21"/>
                <w:szCs w:val="21"/>
                <w:highlight w:val="none"/>
                <w:u w:val="none"/>
                <w:lang w:val="en-US" w:eastAsia="zh-CN"/>
              </w:rPr>
            </w:pPr>
            <w:r>
              <w:rPr>
                <w:rFonts w:hint="eastAsia" w:ascii="仿宋" w:hAnsi="仿宋" w:eastAsia="仿宋" w:cs="仿宋"/>
                <w:i w:val="0"/>
                <w:iCs w:val="0"/>
                <w:color w:val="000000"/>
                <w:sz w:val="21"/>
                <w:szCs w:val="21"/>
                <w:highlight w:val="none"/>
                <w:u w:val="none"/>
                <w:lang w:val="en-US" w:eastAsia="zh-CN"/>
              </w:rPr>
              <w:t>190</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58E97CB2">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sz w:val="21"/>
                <w:szCs w:val="21"/>
                <w:highlight w:val="none"/>
                <w:u w:val="none"/>
                <w:lang w:val="en-US" w:eastAsia="zh-CN"/>
              </w:rPr>
            </w:pPr>
          </w:p>
        </w:tc>
      </w:tr>
      <w:tr w14:paraId="6203E1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1"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31181B06">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5D1C73D6">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防爆叉</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0BD0128C">
            <w:pPr>
              <w:keepNext w:val="0"/>
              <w:keepLines w:val="0"/>
              <w:pageBreakBefore w:val="0"/>
              <w:widowControl/>
              <w:kinsoku/>
              <w:wordWrap/>
              <w:overflowPunct/>
              <w:topLinePunct w:val="0"/>
              <w:autoSpaceDE/>
              <w:autoSpaceDN/>
              <w:bidi w:val="0"/>
              <w:adjustRightInd w:val="0"/>
              <w:snapToGrid w:val="0"/>
              <w:spacing w:line="520" w:lineRule="exact"/>
              <w:jc w:val="left"/>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sz w:val="21"/>
                <w:szCs w:val="21"/>
                <w:highlight w:val="none"/>
                <w:u w:val="none"/>
              </w:rPr>
              <w:t>伸缩式设计，伸缩长度 1.2</w:t>
            </w:r>
            <w:r>
              <w:rPr>
                <w:rFonts w:hint="eastAsia" w:ascii="仿宋" w:hAnsi="仿宋" w:eastAsia="仿宋" w:cs="仿宋"/>
                <w:i w:val="0"/>
                <w:iCs w:val="0"/>
                <w:color w:val="000000"/>
                <w:sz w:val="21"/>
                <w:szCs w:val="21"/>
                <w:highlight w:val="none"/>
                <w:u w:val="none"/>
                <w:lang w:val="en-US" w:eastAsia="zh-CN"/>
              </w:rPr>
              <w:t>m</w:t>
            </w:r>
            <w:r>
              <w:rPr>
                <w:rFonts w:hint="eastAsia" w:ascii="仿宋" w:hAnsi="仿宋" w:eastAsia="仿宋" w:cs="仿宋"/>
                <w:i w:val="0"/>
                <w:iCs w:val="0"/>
                <w:color w:val="000000"/>
                <w:sz w:val="21"/>
                <w:szCs w:val="21"/>
                <w:highlight w:val="none"/>
                <w:u w:val="none"/>
              </w:rPr>
              <w:t>-2.5</w:t>
            </w:r>
            <w:r>
              <w:rPr>
                <w:rFonts w:hint="eastAsia" w:ascii="仿宋" w:hAnsi="仿宋" w:eastAsia="仿宋" w:cs="仿宋"/>
                <w:i w:val="0"/>
                <w:iCs w:val="0"/>
                <w:color w:val="000000"/>
                <w:sz w:val="21"/>
                <w:szCs w:val="21"/>
                <w:highlight w:val="none"/>
                <w:u w:val="none"/>
                <w:lang w:val="en-US" w:eastAsia="zh-CN"/>
              </w:rPr>
              <w:t>m</w:t>
            </w:r>
            <w:r>
              <w:rPr>
                <w:rFonts w:hint="eastAsia" w:ascii="仿宋" w:hAnsi="仿宋" w:eastAsia="仿宋" w:cs="仿宋"/>
                <w:i w:val="0"/>
                <w:iCs w:val="0"/>
                <w:color w:val="000000"/>
                <w:sz w:val="21"/>
                <w:szCs w:val="21"/>
                <w:highlight w:val="none"/>
                <w:u w:val="none"/>
              </w:rPr>
              <w:t>，不锈钢材质，防折、抗冲击，带锁止功能，手柄防滑，适配安保防暴抓捕</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1E339AF3">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sz w:val="21"/>
                <w:szCs w:val="21"/>
                <w:highlight w:val="none"/>
                <w:u w:val="none"/>
                <w:lang w:val="en-US" w:eastAsia="zh-CN"/>
              </w:rPr>
            </w:pPr>
            <w:r>
              <w:rPr>
                <w:rFonts w:hint="eastAsia" w:ascii="仿宋" w:hAnsi="仿宋" w:eastAsia="仿宋" w:cs="仿宋"/>
                <w:i w:val="0"/>
                <w:iCs w:val="0"/>
                <w:color w:val="000000"/>
                <w:sz w:val="21"/>
                <w:szCs w:val="21"/>
                <w:highlight w:val="none"/>
                <w:u w:val="none"/>
                <w:lang w:val="en-US" w:eastAsia="zh-CN"/>
              </w:rPr>
              <w:t>150</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4F0AFC88">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sz w:val="21"/>
                <w:szCs w:val="21"/>
                <w:highlight w:val="none"/>
                <w:u w:val="none"/>
                <w:lang w:val="en-US" w:eastAsia="zh-CN"/>
              </w:rPr>
            </w:pPr>
          </w:p>
        </w:tc>
      </w:tr>
      <w:tr w14:paraId="20B3FA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1"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528CD777">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2485723A">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防爆手套（M/L）</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390A0579">
            <w:pPr>
              <w:keepNext w:val="0"/>
              <w:keepLines w:val="0"/>
              <w:pageBreakBefore w:val="0"/>
              <w:widowControl/>
              <w:kinsoku/>
              <w:wordWrap/>
              <w:overflowPunct/>
              <w:topLinePunct w:val="0"/>
              <w:autoSpaceDE/>
              <w:autoSpaceDN/>
              <w:bidi w:val="0"/>
              <w:adjustRightInd w:val="0"/>
              <w:snapToGrid w:val="0"/>
              <w:spacing w:line="520" w:lineRule="exact"/>
              <w:jc w:val="left"/>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sz w:val="21"/>
                <w:szCs w:val="21"/>
                <w:highlight w:val="none"/>
                <w:u w:val="none"/>
              </w:rPr>
              <w:t xml:space="preserve">防割、防刺、防砸，M/L 码可选，牛皮 / 凯夫拉材质，掌心防滑，腕部魔术贴，符合 </w:t>
            </w:r>
            <w:r>
              <w:rPr>
                <w:rFonts w:hint="eastAsia" w:ascii="仿宋" w:hAnsi="仿宋" w:eastAsia="仿宋" w:cs="仿宋"/>
                <w:highlight w:val="none"/>
                <w:lang w:val="en-US" w:eastAsia="zh-CN"/>
              </w:rPr>
              <w:t>《消防员化学防护服装》（XF770-2008）</w:t>
            </w:r>
            <w:r>
              <w:rPr>
                <w:rFonts w:hint="eastAsia" w:ascii="仿宋" w:hAnsi="仿宋" w:eastAsia="仿宋" w:cs="仿宋"/>
                <w:i w:val="0"/>
                <w:iCs w:val="0"/>
                <w:color w:val="000000"/>
                <w:sz w:val="21"/>
                <w:szCs w:val="21"/>
                <w:highlight w:val="none"/>
                <w:u w:val="none"/>
              </w:rPr>
              <w:t xml:space="preserve"> 标准，适配安保人员手部防护</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6B1F556A">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sz w:val="21"/>
                <w:szCs w:val="21"/>
                <w:highlight w:val="none"/>
                <w:u w:val="none"/>
                <w:lang w:val="en-US" w:eastAsia="zh-CN"/>
              </w:rPr>
            </w:pPr>
            <w:r>
              <w:rPr>
                <w:rFonts w:hint="eastAsia" w:ascii="仿宋" w:hAnsi="仿宋" w:eastAsia="仿宋" w:cs="仿宋"/>
                <w:i w:val="0"/>
                <w:iCs w:val="0"/>
                <w:color w:val="000000"/>
                <w:sz w:val="21"/>
                <w:szCs w:val="21"/>
                <w:highlight w:val="none"/>
                <w:u w:val="none"/>
                <w:lang w:val="en-US" w:eastAsia="zh-CN"/>
              </w:rPr>
              <w:t>97</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54F9E2D2">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sz w:val="21"/>
                <w:szCs w:val="21"/>
                <w:highlight w:val="none"/>
                <w:u w:val="none"/>
                <w:lang w:val="en-US" w:eastAsia="zh-CN"/>
              </w:rPr>
            </w:pPr>
          </w:p>
        </w:tc>
      </w:tr>
      <w:tr w14:paraId="506DE1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1"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63EF836B">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63CFF262">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防爆棍</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38004FE8">
            <w:pPr>
              <w:keepNext w:val="0"/>
              <w:keepLines w:val="0"/>
              <w:pageBreakBefore w:val="0"/>
              <w:widowControl/>
              <w:kinsoku/>
              <w:wordWrap/>
              <w:overflowPunct/>
              <w:topLinePunct w:val="0"/>
              <w:autoSpaceDE/>
              <w:autoSpaceDN/>
              <w:bidi w:val="0"/>
              <w:adjustRightInd w:val="0"/>
              <w:snapToGrid w:val="0"/>
              <w:spacing w:line="520" w:lineRule="exact"/>
              <w:jc w:val="left"/>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sz w:val="21"/>
                <w:szCs w:val="21"/>
                <w:highlight w:val="none"/>
                <w:u w:val="none"/>
              </w:rPr>
              <w:t>橡胶 / 合金钢材质，长度≥50cm，防摔、抗冲击，手柄防滑，可伸缩 / 固定，适配安保防暴驱散</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6E70E3AB">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sz w:val="21"/>
                <w:szCs w:val="21"/>
                <w:highlight w:val="none"/>
                <w:u w:val="none"/>
                <w:lang w:val="en-US" w:eastAsia="zh-CN"/>
              </w:rPr>
            </w:pPr>
            <w:r>
              <w:rPr>
                <w:rFonts w:hint="eastAsia" w:ascii="仿宋" w:hAnsi="仿宋" w:eastAsia="仿宋" w:cs="仿宋"/>
                <w:i w:val="0"/>
                <w:iCs w:val="0"/>
                <w:color w:val="000000"/>
                <w:sz w:val="21"/>
                <w:szCs w:val="21"/>
                <w:highlight w:val="none"/>
                <w:u w:val="none"/>
                <w:lang w:val="en-US" w:eastAsia="zh-CN"/>
              </w:rPr>
              <w:t>88</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12077D9F">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sz w:val="21"/>
                <w:szCs w:val="21"/>
                <w:highlight w:val="none"/>
                <w:u w:val="none"/>
                <w:lang w:val="en-US" w:eastAsia="zh-CN"/>
              </w:rPr>
            </w:pPr>
          </w:p>
        </w:tc>
      </w:tr>
      <w:tr w14:paraId="389CCF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4"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4B89AFCC">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4F9328BF">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防爆器材柜</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0EB728DB">
            <w:pPr>
              <w:keepNext w:val="0"/>
              <w:keepLines w:val="0"/>
              <w:pageBreakBefore w:val="0"/>
              <w:widowControl/>
              <w:kinsoku/>
              <w:wordWrap/>
              <w:overflowPunct/>
              <w:topLinePunct w:val="0"/>
              <w:autoSpaceDE/>
              <w:autoSpaceDN/>
              <w:bidi w:val="0"/>
              <w:adjustRightInd w:val="0"/>
              <w:snapToGrid w:val="0"/>
              <w:spacing w:line="520" w:lineRule="exact"/>
              <w:jc w:val="left"/>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sz w:val="21"/>
                <w:szCs w:val="21"/>
                <w:highlight w:val="none"/>
                <w:u w:val="none"/>
              </w:rPr>
              <w:t>冷轧钢材质，厚度≥1.2mm，带锁设计，分层存放，可存放防爆头盔、盾牌、叉、棍等器材，尺寸≥1800mm×900mm×</w:t>
            </w:r>
            <w:r>
              <w:rPr>
                <w:rFonts w:hint="eastAsia" w:ascii="仿宋" w:hAnsi="仿宋" w:eastAsia="仿宋" w:cs="仿宋"/>
                <w:i w:val="0"/>
                <w:iCs w:val="0"/>
                <w:color w:val="000000"/>
                <w:sz w:val="21"/>
                <w:szCs w:val="21"/>
                <w:highlight w:val="none"/>
                <w:u w:val="none"/>
                <w:lang w:val="en-US" w:eastAsia="zh-CN"/>
              </w:rPr>
              <w:t>4</w:t>
            </w:r>
            <w:r>
              <w:rPr>
                <w:rFonts w:hint="eastAsia" w:ascii="仿宋" w:hAnsi="仿宋" w:eastAsia="仿宋" w:cs="仿宋"/>
                <w:i w:val="0"/>
                <w:iCs w:val="0"/>
                <w:color w:val="000000"/>
                <w:sz w:val="21"/>
                <w:szCs w:val="21"/>
                <w:highlight w:val="none"/>
                <w:u w:val="none"/>
              </w:rPr>
              <w:t>00mm，表面喷塑防锈，落地安装，适配防爆器材集中存放</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3E004890">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sz w:val="21"/>
                <w:szCs w:val="21"/>
                <w:highlight w:val="none"/>
                <w:u w:val="none"/>
                <w:lang w:val="en-US" w:eastAsia="zh-CN"/>
              </w:rPr>
            </w:pPr>
            <w:r>
              <w:rPr>
                <w:rFonts w:hint="eastAsia" w:ascii="仿宋" w:hAnsi="仿宋" w:eastAsia="仿宋" w:cs="仿宋"/>
                <w:i w:val="0"/>
                <w:iCs w:val="0"/>
                <w:color w:val="000000"/>
                <w:sz w:val="21"/>
                <w:szCs w:val="21"/>
                <w:highlight w:val="none"/>
                <w:u w:val="none"/>
                <w:lang w:val="en-US" w:eastAsia="zh-CN"/>
              </w:rPr>
              <w:t>1622</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37CA8F8C">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sz w:val="21"/>
                <w:szCs w:val="21"/>
                <w:highlight w:val="none"/>
                <w:u w:val="none"/>
                <w:lang w:val="en-US" w:eastAsia="zh-CN"/>
              </w:rPr>
            </w:pPr>
          </w:p>
        </w:tc>
      </w:tr>
      <w:tr w14:paraId="171D80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1"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0F54F8D5">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0260787A">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花岗石路障圆石球</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1497F281">
            <w:pPr>
              <w:keepNext w:val="0"/>
              <w:keepLines w:val="0"/>
              <w:pageBreakBefore w:val="0"/>
              <w:widowControl/>
              <w:kinsoku/>
              <w:wordWrap/>
              <w:overflowPunct/>
              <w:topLinePunct w:val="0"/>
              <w:autoSpaceDE/>
              <w:autoSpaceDN/>
              <w:bidi w:val="0"/>
              <w:adjustRightInd w:val="0"/>
              <w:snapToGrid w:val="0"/>
              <w:spacing w:line="520" w:lineRule="exact"/>
              <w:jc w:val="left"/>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sz w:val="21"/>
                <w:szCs w:val="21"/>
                <w:highlight w:val="none"/>
                <w:u w:val="none"/>
              </w:rPr>
              <w:t>天然花岗石材质，直径≥300mm，重量≥50kg，抛光处理，防刮、抗冲击，色泽均匀，适配园区 / 小区出入口防撞、隔离路障</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6400B054">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sz w:val="21"/>
                <w:szCs w:val="21"/>
                <w:highlight w:val="none"/>
                <w:u w:val="none"/>
                <w:lang w:val="en-US" w:eastAsia="zh-CN"/>
              </w:rPr>
            </w:pPr>
            <w:r>
              <w:rPr>
                <w:rFonts w:hint="eastAsia" w:ascii="仿宋" w:hAnsi="仿宋" w:eastAsia="仿宋" w:cs="仿宋"/>
                <w:i w:val="0"/>
                <w:iCs w:val="0"/>
                <w:color w:val="000000"/>
                <w:sz w:val="21"/>
                <w:szCs w:val="21"/>
                <w:highlight w:val="none"/>
                <w:u w:val="none"/>
                <w:lang w:val="en-US" w:eastAsia="zh-CN"/>
              </w:rPr>
              <w:t>929</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35BC7777">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sz w:val="21"/>
                <w:szCs w:val="21"/>
                <w:highlight w:val="none"/>
                <w:u w:val="none"/>
                <w:lang w:val="en-US" w:eastAsia="zh-CN"/>
              </w:rPr>
            </w:pPr>
          </w:p>
        </w:tc>
      </w:tr>
      <w:tr w14:paraId="2CE898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1"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0E194CA0">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4DF0DB61">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防爆桶</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49306066">
            <w:pPr>
              <w:keepNext w:val="0"/>
              <w:keepLines w:val="0"/>
              <w:pageBreakBefore w:val="0"/>
              <w:widowControl/>
              <w:kinsoku/>
              <w:wordWrap/>
              <w:overflowPunct/>
              <w:topLinePunct w:val="0"/>
              <w:autoSpaceDE/>
              <w:autoSpaceDN/>
              <w:bidi w:val="0"/>
              <w:adjustRightInd w:val="0"/>
              <w:snapToGrid w:val="0"/>
              <w:spacing w:line="520" w:lineRule="exact"/>
              <w:jc w:val="left"/>
              <w:rPr>
                <w:rFonts w:hint="eastAsia" w:ascii="仿宋" w:hAnsi="仿宋" w:eastAsia="仿宋" w:cs="仿宋"/>
                <w:i w:val="0"/>
                <w:iCs w:val="0"/>
                <w:color w:val="000000"/>
                <w:sz w:val="21"/>
                <w:szCs w:val="21"/>
                <w:highlight w:val="none"/>
                <w:u w:val="none"/>
                <w:lang w:val="en-US" w:eastAsia="zh-CN"/>
              </w:rPr>
            </w:pPr>
            <w:r>
              <w:rPr>
                <w:rFonts w:hint="eastAsia" w:ascii="仿宋" w:hAnsi="仿宋" w:eastAsia="仿宋" w:cs="仿宋"/>
                <w:i w:val="0"/>
                <w:iCs w:val="0"/>
                <w:color w:val="000000"/>
                <w:sz w:val="21"/>
                <w:szCs w:val="21"/>
                <w:highlight w:val="none"/>
                <w:u w:val="none"/>
                <w:lang w:val="en-US" w:eastAsia="zh-CN"/>
              </w:rPr>
              <w:t>外径≤750mm、高度≤650mm；可承受500gTNT当量；无二次碎片。</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48ED771C">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sz w:val="21"/>
                <w:szCs w:val="21"/>
                <w:highlight w:val="none"/>
                <w:u w:val="none"/>
                <w:lang w:val="en-US" w:eastAsia="zh-CN"/>
              </w:rPr>
            </w:pPr>
            <w:r>
              <w:rPr>
                <w:rFonts w:hint="eastAsia" w:ascii="仿宋" w:hAnsi="仿宋" w:eastAsia="仿宋" w:cs="仿宋"/>
                <w:i w:val="0"/>
                <w:iCs w:val="0"/>
                <w:color w:val="000000"/>
                <w:sz w:val="21"/>
                <w:szCs w:val="21"/>
                <w:highlight w:val="none"/>
                <w:u w:val="none"/>
                <w:lang w:val="en-US" w:eastAsia="zh-CN"/>
              </w:rPr>
              <w:t>1900</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39AD0E79">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sz w:val="21"/>
                <w:szCs w:val="21"/>
                <w:highlight w:val="none"/>
                <w:u w:val="none"/>
                <w:lang w:val="en-US" w:eastAsia="zh-CN"/>
              </w:rPr>
            </w:pPr>
          </w:p>
        </w:tc>
      </w:tr>
    </w:tbl>
    <w:p w14:paraId="7712C61B">
      <w:pPr>
        <w:pageBreakBefore w:val="0"/>
        <w:kinsoku/>
        <w:overflowPunct/>
        <w:topLinePunct w:val="0"/>
        <w:autoSpaceDE/>
        <w:autoSpaceDN/>
        <w:bidi w:val="0"/>
        <w:spacing w:line="360" w:lineRule="auto"/>
        <w:ind w:firstLine="482" w:firstLineChars="200"/>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rPr>
        <w:t>注：</w:t>
      </w:r>
      <w:r>
        <w:rPr>
          <w:rFonts w:hint="eastAsia" w:ascii="宋体" w:hAnsi="宋体" w:eastAsia="宋体" w:cs="宋体"/>
          <w:b/>
          <w:bCs/>
          <w:sz w:val="24"/>
          <w:szCs w:val="24"/>
          <w:lang w:val="en-US" w:eastAsia="zh-CN"/>
        </w:rPr>
        <w:t>1.本项目设有各项器材的最高限价（详见技术要求表格）。</w:t>
      </w:r>
    </w:p>
    <w:p w14:paraId="3593317C">
      <w:pPr>
        <w:widowControl/>
        <w:spacing w:line="520" w:lineRule="exact"/>
        <w:ind w:firstLine="482" w:firstLineChars="200"/>
        <w:jc w:val="left"/>
        <w:rPr>
          <w:rFonts w:hint="eastAsia" w:ascii="宋体" w:hAnsi="宋体" w:eastAsia="宋体" w:cs="宋体"/>
          <w:b/>
          <w:bCs/>
          <w:sz w:val="24"/>
          <w:szCs w:val="24"/>
          <w:lang w:eastAsia="zh-CN"/>
        </w:rPr>
      </w:pPr>
      <w:r>
        <w:rPr>
          <w:rFonts w:hint="eastAsia" w:ascii="宋体" w:hAnsi="宋体" w:eastAsia="宋体" w:cs="宋体"/>
          <w:b/>
          <w:bCs/>
          <w:sz w:val="24"/>
          <w:szCs w:val="24"/>
          <w:lang w:val="en-US" w:eastAsia="zh-CN"/>
        </w:rPr>
        <w:t>2.</w:t>
      </w:r>
      <w:r>
        <w:rPr>
          <w:rFonts w:hint="eastAsia" w:ascii="宋体" w:hAnsi="宋体" w:eastAsia="宋体" w:cs="宋体"/>
          <w:b/>
          <w:bCs/>
          <w:color w:val="auto"/>
          <w:sz w:val="24"/>
          <w:szCs w:val="24"/>
          <w:highlight w:val="none"/>
        </w:rPr>
        <w:t>投标</w:t>
      </w:r>
      <w:r>
        <w:rPr>
          <w:rFonts w:hint="eastAsia" w:ascii="宋体" w:hAnsi="宋体" w:eastAsia="宋体" w:cs="宋体"/>
          <w:b/>
          <w:bCs/>
          <w:color w:val="auto"/>
          <w:sz w:val="24"/>
          <w:szCs w:val="24"/>
          <w:highlight w:val="none"/>
          <w:lang w:val="en-US" w:eastAsia="zh-CN"/>
        </w:rPr>
        <w:t>人以</w:t>
      </w:r>
      <w:r>
        <w:rPr>
          <w:rFonts w:hint="eastAsia" w:ascii="宋体" w:hAnsi="宋体" w:eastAsia="宋体" w:cs="宋体"/>
          <w:b/>
          <w:bCs/>
          <w:color w:val="auto"/>
          <w:sz w:val="24"/>
          <w:szCs w:val="24"/>
          <w:highlight w:val="none"/>
        </w:rPr>
        <w:t>统一折扣</w:t>
      </w:r>
      <w:r>
        <w:rPr>
          <w:rFonts w:hint="eastAsia" w:ascii="宋体" w:hAnsi="宋体" w:eastAsia="宋体" w:cs="宋体"/>
          <w:b/>
          <w:bCs/>
          <w:color w:val="auto"/>
          <w:sz w:val="24"/>
          <w:szCs w:val="24"/>
          <w:highlight w:val="none"/>
          <w:lang w:val="en-US" w:eastAsia="zh-CN"/>
        </w:rPr>
        <w:t>率形式报价。各品目固定单价=最高单价限价*中标统一折扣率，</w:t>
      </w:r>
      <w:r>
        <w:rPr>
          <w:rFonts w:hint="eastAsia" w:ascii="宋体" w:hAnsi="宋体" w:eastAsia="宋体" w:cs="宋体"/>
          <w:b/>
          <w:bCs/>
          <w:sz w:val="24"/>
          <w:szCs w:val="24"/>
        </w:rPr>
        <w:t>采购人最终结算总价</w:t>
      </w:r>
      <w:r>
        <w:rPr>
          <w:rFonts w:hint="eastAsia" w:ascii="宋体" w:hAnsi="宋体" w:eastAsia="宋体" w:cs="宋体"/>
          <w:b/>
          <w:bCs/>
          <w:sz w:val="24"/>
          <w:szCs w:val="24"/>
          <w:lang w:val="en-US" w:eastAsia="zh-CN"/>
        </w:rPr>
        <w:t>=最高单价限价*中标统一折扣率*实际验收合格数量，固定单价已</w:t>
      </w:r>
      <w:r>
        <w:rPr>
          <w:rFonts w:hint="eastAsia" w:ascii="宋体" w:hAnsi="宋体" w:eastAsia="宋体" w:cs="宋体"/>
          <w:b/>
          <w:bCs/>
          <w:sz w:val="24"/>
          <w:szCs w:val="24"/>
        </w:rPr>
        <w:t>包含货物</w:t>
      </w:r>
      <w:r>
        <w:rPr>
          <w:rFonts w:hint="eastAsia" w:ascii="宋体" w:hAnsi="宋体" w:eastAsia="宋体" w:cs="宋体"/>
          <w:b/>
          <w:bCs/>
          <w:sz w:val="24"/>
          <w:szCs w:val="24"/>
          <w:lang w:val="en-US" w:eastAsia="zh-CN"/>
        </w:rPr>
        <w:t>价款</w:t>
      </w:r>
      <w:r>
        <w:rPr>
          <w:rFonts w:hint="eastAsia" w:ascii="宋体" w:hAnsi="宋体" w:eastAsia="宋体" w:cs="宋体"/>
          <w:b/>
          <w:bCs/>
          <w:sz w:val="24"/>
          <w:szCs w:val="24"/>
        </w:rPr>
        <w:t>、安装费、税费及采购文件规定的其它所有费用</w:t>
      </w:r>
      <w:r>
        <w:rPr>
          <w:rFonts w:hint="eastAsia" w:ascii="宋体" w:hAnsi="宋体" w:eastAsia="宋体" w:cs="宋体"/>
          <w:b/>
          <w:bCs/>
          <w:sz w:val="24"/>
          <w:szCs w:val="24"/>
          <w:lang w:eastAsia="zh-CN"/>
        </w:rPr>
        <w:t>。</w:t>
      </w:r>
    </w:p>
    <w:p w14:paraId="58261D6F">
      <w:pPr>
        <w:widowControl/>
        <w:spacing w:line="520" w:lineRule="exact"/>
        <w:ind w:firstLine="482" w:firstLineChars="200"/>
        <w:jc w:val="left"/>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w:t>
      </w:r>
      <w:r>
        <w:rPr>
          <w:rFonts w:hint="eastAsia" w:ascii="宋体" w:hAnsi="宋体" w:eastAsia="宋体" w:cs="宋体"/>
          <w:b/>
          <w:bCs/>
          <w:sz w:val="24"/>
          <w:szCs w:val="24"/>
          <w:lang w:eastAsia="zh-CN"/>
        </w:rPr>
        <w:t>（</w:t>
      </w:r>
      <w:r>
        <w:rPr>
          <w:rFonts w:hint="eastAsia" w:ascii="宋体" w:hAnsi="宋体" w:eastAsia="宋体" w:cs="宋体"/>
          <w:b/>
          <w:bCs/>
          <w:sz w:val="24"/>
          <w:szCs w:val="24"/>
          <w:lang w:val="en-US" w:eastAsia="zh-CN"/>
        </w:rPr>
        <w:t>三</w:t>
      </w:r>
      <w:r>
        <w:rPr>
          <w:rFonts w:hint="eastAsia" w:ascii="宋体" w:hAnsi="宋体" w:eastAsia="宋体" w:cs="宋体"/>
          <w:b/>
          <w:bCs/>
          <w:sz w:val="24"/>
          <w:szCs w:val="24"/>
          <w:lang w:eastAsia="zh-CN"/>
        </w:rPr>
        <w:t>）</w:t>
      </w:r>
      <w:r>
        <w:rPr>
          <w:rFonts w:hint="eastAsia" w:ascii="宋体" w:hAnsi="宋体" w:eastAsia="宋体" w:cs="宋体"/>
          <w:b/>
          <w:bCs/>
          <w:sz w:val="24"/>
          <w:szCs w:val="24"/>
          <w:lang w:val="en-US" w:eastAsia="zh-CN"/>
        </w:rPr>
        <w:t>投标人义务</w:t>
      </w:r>
    </w:p>
    <w:p w14:paraId="74B891FB">
      <w:pPr>
        <w:pStyle w:val="13"/>
        <w:keepNext w:val="0"/>
        <w:keepLines w:val="0"/>
        <w:pageBreakBefore w:val="0"/>
        <w:widowControl w:val="0"/>
        <w:numPr>
          <w:ilvl w:val="0"/>
          <w:numId w:val="0"/>
        </w:numPr>
        <w:kinsoku/>
        <w:wordWrap/>
        <w:overflowPunct/>
        <w:topLinePunct w:val="0"/>
        <w:autoSpaceDE/>
        <w:autoSpaceDN/>
        <w:bidi w:val="0"/>
        <w:adjustRightInd/>
        <w:snapToGrid w:val="0"/>
        <w:spacing w:before="40" w:after="40" w:line="520" w:lineRule="atLeast"/>
        <w:ind w:firstLine="480" w:firstLineChars="200"/>
        <w:jc w:val="both"/>
        <w:textAlignment w:val="auto"/>
        <w:rPr>
          <w:rFonts w:hint="eastAsia" w:ascii="仿宋" w:hAnsi="仿宋" w:eastAsia="仿宋" w:cs="仿宋"/>
          <w:b w:val="0"/>
          <w:bCs w:val="0"/>
          <w:snapToGrid w:val="0"/>
          <w:color w:val="000000"/>
          <w:sz w:val="24"/>
          <w:szCs w:val="24"/>
          <w:lang w:val="en-US" w:eastAsia="zh-CN" w:bidi="ar-SA"/>
        </w:rPr>
      </w:pPr>
      <w:r>
        <w:rPr>
          <w:rFonts w:hint="eastAsia" w:ascii="仿宋" w:hAnsi="仿宋" w:eastAsia="仿宋" w:cs="仿宋"/>
          <w:b w:val="0"/>
          <w:bCs w:val="0"/>
          <w:sz w:val="24"/>
          <w:szCs w:val="24"/>
          <w:lang w:val="en-US" w:eastAsia="zh-CN"/>
        </w:rPr>
        <w:t>投标人</w:t>
      </w:r>
      <w:r>
        <w:rPr>
          <w:rFonts w:hint="eastAsia" w:ascii="仿宋" w:hAnsi="仿宋" w:eastAsia="仿宋" w:cs="仿宋"/>
          <w:b w:val="0"/>
          <w:bCs w:val="0"/>
          <w:snapToGrid w:val="0"/>
          <w:color w:val="000000"/>
          <w:sz w:val="24"/>
          <w:szCs w:val="24"/>
          <w:lang w:val="en-US" w:eastAsia="zh-CN" w:bidi="ar-SA"/>
        </w:rPr>
        <w:t>需在服务期限内根据采购人需求完成供货安装</w:t>
      </w:r>
    </w:p>
    <w:p w14:paraId="676F3C43">
      <w:pPr>
        <w:pStyle w:val="13"/>
        <w:keepNext w:val="0"/>
        <w:keepLines w:val="0"/>
        <w:pageBreakBefore w:val="0"/>
        <w:widowControl w:val="0"/>
        <w:numPr>
          <w:ilvl w:val="0"/>
          <w:numId w:val="0"/>
        </w:numPr>
        <w:kinsoku/>
        <w:wordWrap/>
        <w:overflowPunct/>
        <w:topLinePunct w:val="0"/>
        <w:autoSpaceDE/>
        <w:autoSpaceDN/>
        <w:bidi w:val="0"/>
        <w:adjustRightInd/>
        <w:snapToGrid w:val="0"/>
        <w:spacing w:before="40" w:after="40" w:line="520" w:lineRule="atLeast"/>
        <w:ind w:firstLine="480" w:firstLineChars="200"/>
        <w:jc w:val="both"/>
        <w:textAlignment w:val="auto"/>
        <w:rPr>
          <w:rFonts w:hint="eastAsia" w:ascii="仿宋" w:hAnsi="仿宋" w:eastAsia="仿宋" w:cs="仿宋"/>
          <w:b w:val="0"/>
          <w:bCs w:val="0"/>
          <w:snapToGrid w:val="0"/>
          <w:color w:val="000000"/>
          <w:sz w:val="24"/>
          <w:szCs w:val="24"/>
          <w:lang w:val="en-US" w:eastAsia="zh-CN" w:bidi="ar-SA"/>
        </w:rPr>
      </w:pPr>
      <w:r>
        <w:rPr>
          <w:rFonts w:hint="eastAsia" w:ascii="仿宋" w:hAnsi="仿宋" w:eastAsia="仿宋" w:cs="仿宋"/>
          <w:b w:val="0"/>
          <w:bCs w:val="0"/>
          <w:snapToGrid w:val="0"/>
          <w:color w:val="000000"/>
          <w:sz w:val="24"/>
          <w:szCs w:val="24"/>
          <w:lang w:val="en-US" w:eastAsia="zh-CN" w:bidi="ar-SA"/>
        </w:rPr>
        <w:t>1.突发紧急情况（指涉及安全重大隐患、设备故障导致监控盲区等，由采购人界定）：供应商在接到采购人通知后，须在3小时内响应并抵达现场处理（含夜间及法定节假日）。</w:t>
      </w:r>
    </w:p>
    <w:p w14:paraId="78B59224">
      <w:pPr>
        <w:pStyle w:val="13"/>
        <w:keepNext w:val="0"/>
        <w:keepLines w:val="0"/>
        <w:pageBreakBefore w:val="0"/>
        <w:widowControl w:val="0"/>
        <w:numPr>
          <w:ilvl w:val="0"/>
          <w:numId w:val="0"/>
        </w:numPr>
        <w:kinsoku/>
        <w:wordWrap/>
        <w:overflowPunct/>
        <w:topLinePunct w:val="0"/>
        <w:autoSpaceDE/>
        <w:autoSpaceDN/>
        <w:bidi w:val="0"/>
        <w:adjustRightInd/>
        <w:snapToGrid w:val="0"/>
        <w:spacing w:before="40" w:after="40" w:line="520" w:lineRule="atLeast"/>
        <w:ind w:firstLine="480" w:firstLineChars="200"/>
        <w:jc w:val="both"/>
        <w:textAlignment w:val="auto"/>
        <w:rPr>
          <w:rFonts w:hint="eastAsia" w:ascii="仿宋" w:hAnsi="仿宋" w:eastAsia="仿宋" w:cs="仿宋"/>
          <w:b w:val="0"/>
          <w:bCs w:val="0"/>
          <w:snapToGrid w:val="0"/>
          <w:color w:val="000000"/>
          <w:sz w:val="24"/>
          <w:szCs w:val="24"/>
          <w:lang w:val="en-US" w:eastAsia="zh-CN" w:bidi="ar-SA"/>
        </w:rPr>
      </w:pPr>
      <w:r>
        <w:rPr>
          <w:rFonts w:hint="eastAsia" w:ascii="仿宋" w:hAnsi="仿宋" w:eastAsia="仿宋" w:cs="仿宋"/>
          <w:b w:val="0"/>
          <w:bCs w:val="0"/>
          <w:snapToGrid w:val="0"/>
          <w:color w:val="000000"/>
          <w:sz w:val="24"/>
          <w:szCs w:val="24"/>
          <w:lang w:val="en-US" w:eastAsia="zh-CN" w:bidi="ar-SA"/>
        </w:rPr>
        <w:t>2.非紧急情况：供应商在接到采购人通知后，须在3个自然日内完成供货。</w:t>
      </w:r>
    </w:p>
    <w:p w14:paraId="0599D176">
      <w:pPr>
        <w:pStyle w:val="13"/>
        <w:keepNext w:val="0"/>
        <w:keepLines w:val="0"/>
        <w:pageBreakBefore w:val="0"/>
        <w:widowControl w:val="0"/>
        <w:numPr>
          <w:ilvl w:val="0"/>
          <w:numId w:val="0"/>
        </w:numPr>
        <w:kinsoku/>
        <w:wordWrap/>
        <w:overflowPunct/>
        <w:topLinePunct w:val="0"/>
        <w:autoSpaceDE/>
        <w:autoSpaceDN/>
        <w:bidi w:val="0"/>
        <w:adjustRightInd/>
        <w:snapToGrid w:val="0"/>
        <w:spacing w:before="40" w:after="40" w:line="520" w:lineRule="atLeast"/>
        <w:ind w:firstLine="480" w:firstLineChars="200"/>
        <w:jc w:val="both"/>
        <w:textAlignment w:val="auto"/>
        <w:rPr>
          <w:rFonts w:hint="eastAsia" w:ascii="仿宋" w:hAnsi="仿宋" w:eastAsia="仿宋" w:cs="仿宋"/>
          <w:b w:val="0"/>
          <w:bCs w:val="0"/>
          <w:snapToGrid w:val="0"/>
          <w:color w:val="000000"/>
          <w:sz w:val="24"/>
          <w:szCs w:val="24"/>
          <w:lang w:val="en-US" w:eastAsia="zh-CN" w:bidi="ar-SA"/>
        </w:rPr>
      </w:pPr>
      <w:r>
        <w:rPr>
          <w:rFonts w:hint="eastAsia" w:ascii="仿宋" w:hAnsi="仿宋" w:eastAsia="仿宋" w:cs="仿宋"/>
          <w:b w:val="0"/>
          <w:bCs w:val="0"/>
          <w:snapToGrid w:val="0"/>
          <w:color w:val="000000"/>
          <w:sz w:val="24"/>
          <w:szCs w:val="24"/>
          <w:lang w:val="en-US" w:eastAsia="zh-CN" w:bidi="ar-SA"/>
        </w:rPr>
        <w:t>3.</w:t>
      </w:r>
      <w:r>
        <w:rPr>
          <w:rFonts w:hint="eastAsia" w:ascii="仿宋" w:hAnsi="仿宋" w:eastAsia="仿宋" w:cs="仿宋"/>
          <w:b w:val="0"/>
          <w:bCs w:val="0"/>
          <w:sz w:val="24"/>
          <w:szCs w:val="24"/>
          <w:lang w:val="en-US" w:eastAsia="zh-CN"/>
        </w:rPr>
        <w:t>安防设备、器材按照</w:t>
      </w:r>
      <w:r>
        <w:rPr>
          <w:rFonts w:hint="eastAsia" w:ascii="仿宋" w:hAnsi="仿宋" w:eastAsia="仿宋" w:cs="仿宋"/>
          <w:b w:val="0"/>
          <w:bCs w:val="0"/>
          <w:snapToGrid w:val="0"/>
          <w:color w:val="000000"/>
          <w:sz w:val="24"/>
          <w:szCs w:val="24"/>
          <w:lang w:val="en-US" w:eastAsia="zh-CN" w:bidi="ar-SA"/>
        </w:rPr>
        <w:t>采购人指定地点配送安装。</w:t>
      </w:r>
    </w:p>
    <w:p w14:paraId="2F243355">
      <w:pPr>
        <w:keepNext w:val="0"/>
        <w:keepLines w:val="0"/>
        <w:pageBreakBefore w:val="0"/>
        <w:widowControl/>
        <w:kinsoku/>
        <w:wordWrap/>
        <w:overflowPunct/>
        <w:topLinePunct w:val="0"/>
        <w:autoSpaceDE/>
        <w:autoSpaceDN/>
        <w:bidi w:val="0"/>
        <w:adjustRightInd/>
        <w:spacing w:line="520" w:lineRule="atLeast"/>
        <w:ind w:firstLine="480" w:firstLineChars="200"/>
        <w:jc w:val="left"/>
        <w:textAlignment w:val="auto"/>
        <w:rPr>
          <w:rFonts w:hint="eastAsia" w:ascii="仿宋" w:hAnsi="仿宋" w:eastAsia="仿宋" w:cs="仿宋"/>
          <w:b w:val="0"/>
          <w:bCs w:val="0"/>
          <w:sz w:val="24"/>
          <w:szCs w:val="24"/>
          <w:lang w:val="en-US" w:eastAsia="zh-CN"/>
        </w:rPr>
      </w:pPr>
      <w:r>
        <w:rPr>
          <w:rFonts w:hint="eastAsia" w:ascii="仿宋" w:hAnsi="仿宋" w:eastAsia="仿宋" w:cs="仿宋"/>
          <w:b w:val="0"/>
          <w:bCs w:val="0"/>
          <w:snapToGrid w:val="0"/>
          <w:color w:val="000000"/>
          <w:sz w:val="24"/>
          <w:szCs w:val="24"/>
          <w:lang w:val="en-US" w:eastAsia="zh-CN" w:bidi="ar-SA"/>
        </w:rPr>
        <w:t>4. 质量保修范围和保修期：整机保修期≥2年（自验收合格之日起）；</w:t>
      </w:r>
    </w:p>
    <w:p w14:paraId="1C50E2BA">
      <w:pPr>
        <w:adjustRightInd w:val="0"/>
        <w:spacing w:before="156" w:beforeLines="50" w:after="156" w:afterLines="50" w:line="360" w:lineRule="auto"/>
        <w:ind w:firstLine="646"/>
        <w:outlineLvl w:val="1"/>
        <w:rPr>
          <w:rFonts w:hint="eastAsia" w:ascii="黑体" w:hAnsi="黑体" w:eastAsia="黑体" w:cs="仿宋"/>
          <w:bCs/>
          <w:sz w:val="32"/>
          <w:szCs w:val="32"/>
        </w:rPr>
      </w:pPr>
      <w:r>
        <w:rPr>
          <w:rFonts w:hint="eastAsia" w:ascii="黑体" w:hAnsi="黑体" w:eastAsia="黑体" w:cs="仿宋"/>
          <w:bCs/>
          <w:sz w:val="32"/>
          <w:szCs w:val="32"/>
        </w:rPr>
        <w:t>★三、商务要求</w:t>
      </w:r>
    </w:p>
    <w:p w14:paraId="4A167472">
      <w:pPr>
        <w:keepNext w:val="0"/>
        <w:keepLines w:val="0"/>
        <w:pageBreakBefore w:val="0"/>
        <w:kinsoku/>
        <w:wordWrap/>
        <w:overflowPunct/>
        <w:topLinePunct w:val="0"/>
        <w:autoSpaceDE/>
        <w:autoSpaceDN/>
        <w:bidi w:val="0"/>
        <w:adjustRightInd/>
        <w:snapToGrid/>
        <w:spacing w:line="520" w:lineRule="atLeast"/>
        <w:ind w:firstLine="480" w:firstLineChars="200"/>
        <w:textAlignment w:val="auto"/>
        <w:rPr>
          <w:rFonts w:hint="eastAsia" w:ascii="仿宋" w:hAnsi="仿宋" w:eastAsia="仿宋" w:cs="仿宋"/>
          <w:sz w:val="24"/>
          <w:szCs w:val="24"/>
          <w:lang w:eastAsia="zh-CN"/>
        </w:rPr>
      </w:pPr>
      <w:r>
        <w:rPr>
          <w:rFonts w:hint="eastAsia" w:ascii="仿宋" w:hAnsi="仿宋" w:eastAsia="仿宋" w:cs="仿宋"/>
          <w:sz w:val="24"/>
          <w:szCs w:val="24"/>
          <w:lang w:val="en-US" w:eastAsia="zh-CN"/>
        </w:rPr>
        <w:t>（一）</w:t>
      </w:r>
      <w:r>
        <w:rPr>
          <w:rFonts w:hint="eastAsia" w:ascii="仿宋" w:hAnsi="仿宋" w:eastAsia="仿宋" w:cs="仿宋"/>
          <w:sz w:val="24"/>
          <w:szCs w:val="24"/>
        </w:rPr>
        <w:t>项目地点</w:t>
      </w:r>
      <w:r>
        <w:rPr>
          <w:rFonts w:hint="eastAsia" w:ascii="仿宋" w:hAnsi="仿宋" w:eastAsia="仿宋" w:cs="仿宋"/>
          <w:sz w:val="24"/>
          <w:szCs w:val="24"/>
          <w:lang w:eastAsia="zh-CN"/>
        </w:rPr>
        <w:t>：</w:t>
      </w:r>
    </w:p>
    <w:p w14:paraId="2730D89E">
      <w:pPr>
        <w:keepNext w:val="0"/>
        <w:keepLines w:val="0"/>
        <w:pageBreakBefore w:val="0"/>
        <w:kinsoku/>
        <w:wordWrap/>
        <w:overflowPunct/>
        <w:topLinePunct w:val="0"/>
        <w:autoSpaceDE/>
        <w:autoSpaceDN/>
        <w:bidi w:val="0"/>
        <w:adjustRightInd/>
        <w:snapToGrid/>
        <w:spacing w:line="520" w:lineRule="atLeast"/>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1.天府院区-成都市双流区岐黄二路1515号</w:t>
      </w:r>
    </w:p>
    <w:p w14:paraId="5A3DDC72">
      <w:pPr>
        <w:keepNext w:val="0"/>
        <w:keepLines w:val="0"/>
        <w:pageBreakBefore w:val="0"/>
        <w:kinsoku/>
        <w:wordWrap/>
        <w:overflowPunct/>
        <w:topLinePunct w:val="0"/>
        <w:autoSpaceDE/>
        <w:autoSpaceDN/>
        <w:bidi w:val="0"/>
        <w:adjustRightInd/>
        <w:snapToGrid/>
        <w:spacing w:line="520" w:lineRule="atLeast"/>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lang w:val="en-US" w:eastAsia="zh-CN"/>
        </w:rPr>
        <w:t>2.晋阳院区-</w:t>
      </w:r>
      <w:r>
        <w:rPr>
          <w:rFonts w:hint="eastAsia" w:ascii="仿宋" w:hAnsi="仿宋" w:eastAsia="仿宋" w:cs="仿宋"/>
          <w:sz w:val="24"/>
          <w:szCs w:val="24"/>
        </w:rPr>
        <w:t>武侯区沙堰西二街290号</w:t>
      </w:r>
    </w:p>
    <w:p w14:paraId="7F751D4E">
      <w:pPr>
        <w:keepNext w:val="0"/>
        <w:keepLines w:val="0"/>
        <w:pageBreakBefore w:val="0"/>
        <w:kinsoku/>
        <w:wordWrap/>
        <w:overflowPunct/>
        <w:topLinePunct w:val="0"/>
        <w:autoSpaceDE/>
        <w:autoSpaceDN/>
        <w:bidi w:val="0"/>
        <w:adjustRightInd/>
        <w:snapToGrid/>
        <w:spacing w:line="520" w:lineRule="atLeast"/>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lang w:val="en-US" w:eastAsia="zh-CN"/>
        </w:rPr>
        <w:t>3.</w:t>
      </w:r>
      <w:r>
        <w:rPr>
          <w:rFonts w:hint="eastAsia" w:ascii="仿宋" w:hAnsi="仿宋" w:eastAsia="仿宋" w:cs="仿宋"/>
          <w:sz w:val="24"/>
          <w:szCs w:val="24"/>
        </w:rPr>
        <w:t>抚琴院区-金牛区抚琴西路338号</w:t>
      </w:r>
      <w:r>
        <w:rPr>
          <w:rFonts w:hint="eastAsia" w:ascii="仿宋" w:hAnsi="仿宋" w:eastAsia="仿宋" w:cs="仿宋"/>
          <w:sz w:val="24"/>
          <w:szCs w:val="24"/>
          <w:lang w:eastAsia="zh-CN"/>
        </w:rPr>
        <w:t>。</w:t>
      </w:r>
    </w:p>
    <w:p w14:paraId="23F0BA97">
      <w:pPr>
        <w:pStyle w:val="2"/>
        <w:keepNext w:val="0"/>
        <w:keepLines w:val="0"/>
        <w:pageBreakBefore w:val="0"/>
        <w:kinsoku/>
        <w:wordWrap/>
        <w:overflowPunct/>
        <w:topLinePunct w:val="0"/>
        <w:autoSpaceDE/>
        <w:autoSpaceDN/>
        <w:bidi w:val="0"/>
        <w:adjustRightInd/>
        <w:snapToGrid/>
        <w:spacing w:after="0" w:line="520" w:lineRule="atLeast"/>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（二）项目概况：</w:t>
      </w:r>
    </w:p>
    <w:p w14:paraId="7CFFE140">
      <w:pPr>
        <w:pStyle w:val="8"/>
        <w:keepNext w:val="0"/>
        <w:keepLines w:val="0"/>
        <w:pageBreakBefore w:val="0"/>
        <w:numPr>
          <w:ilvl w:val="0"/>
          <w:numId w:val="0"/>
        </w:numPr>
        <w:kinsoku/>
        <w:wordWrap/>
        <w:overflowPunct/>
        <w:topLinePunct w:val="0"/>
        <w:autoSpaceDE/>
        <w:autoSpaceDN/>
        <w:bidi w:val="0"/>
        <w:adjustRightInd/>
        <w:snapToGrid/>
        <w:spacing w:line="520" w:lineRule="atLeast"/>
        <w:ind w:firstLine="480" w:firstLineChars="200"/>
        <w:textAlignment w:val="auto"/>
        <w:rPr>
          <w:rFonts w:hint="eastAsia" w:ascii="仿宋" w:hAnsi="仿宋" w:eastAsia="仿宋" w:cs="仿宋"/>
          <w:b/>
          <w:bCs/>
          <w:sz w:val="24"/>
          <w:szCs w:val="24"/>
          <w:lang w:val="en-US" w:eastAsia="zh-CN"/>
        </w:rPr>
      </w:pPr>
      <w:r>
        <w:rPr>
          <w:rFonts w:hint="eastAsia" w:ascii="仿宋" w:hAnsi="仿宋" w:eastAsia="仿宋" w:cs="仿宋"/>
          <w:sz w:val="24"/>
          <w:szCs w:val="24"/>
          <w:lang w:val="en-US" w:eastAsia="zh-CN"/>
        </w:rPr>
        <w:t>四川省妇幼保健院</w:t>
      </w:r>
      <w:r>
        <w:rPr>
          <w:rFonts w:hint="eastAsia" w:ascii="仿宋" w:hAnsi="仿宋" w:eastAsia="仿宋" w:cs="仿宋"/>
          <w:sz w:val="24"/>
          <w:szCs w:val="24"/>
        </w:rPr>
        <w:t>安防器材维修配件配送，主要用于我</w:t>
      </w:r>
      <w:r>
        <w:rPr>
          <w:rFonts w:hint="eastAsia" w:ascii="仿宋" w:hAnsi="仿宋" w:eastAsia="仿宋" w:cs="仿宋"/>
          <w:sz w:val="24"/>
          <w:szCs w:val="24"/>
          <w:lang w:val="en-US" w:eastAsia="zh-CN"/>
        </w:rPr>
        <w:t>三</w:t>
      </w:r>
      <w:r>
        <w:rPr>
          <w:rFonts w:hint="eastAsia" w:ascii="仿宋" w:hAnsi="仿宋" w:eastAsia="仿宋" w:cs="仿宋"/>
          <w:sz w:val="24"/>
          <w:szCs w:val="24"/>
        </w:rPr>
        <w:t>院</w:t>
      </w:r>
      <w:r>
        <w:rPr>
          <w:rFonts w:hint="eastAsia" w:ascii="仿宋" w:hAnsi="仿宋" w:eastAsia="仿宋" w:cs="仿宋"/>
          <w:sz w:val="24"/>
          <w:szCs w:val="24"/>
          <w:lang w:val="en-US" w:eastAsia="zh-CN"/>
        </w:rPr>
        <w:t>区</w:t>
      </w:r>
      <w:r>
        <w:rPr>
          <w:rFonts w:hint="eastAsia" w:ascii="仿宋" w:hAnsi="仿宋" w:eastAsia="仿宋" w:cs="仿宋"/>
          <w:sz w:val="24"/>
          <w:szCs w:val="24"/>
        </w:rPr>
        <w:t>的各类安防设备器材维修维护，安防器材维修配件根据医院需求进行配送。安防设备器材技术参数要求（详见</w:t>
      </w: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一</w:t>
      </w:r>
      <w:r>
        <w:rPr>
          <w:rFonts w:hint="eastAsia" w:ascii="仿宋" w:hAnsi="仿宋" w:eastAsia="仿宋" w:cs="仿宋"/>
          <w:sz w:val="24"/>
          <w:szCs w:val="24"/>
        </w:rPr>
        <w:t>、</w:t>
      </w:r>
      <w:r>
        <w:rPr>
          <w:rFonts w:hint="eastAsia" w:ascii="仿宋" w:hAnsi="仿宋" w:eastAsia="仿宋" w:cs="仿宋"/>
          <w:sz w:val="24"/>
          <w:szCs w:val="24"/>
          <w:lang w:val="en-US" w:eastAsia="zh-CN"/>
        </w:rPr>
        <w:t>技术要求，</w:t>
      </w:r>
      <w:r>
        <w:rPr>
          <w:rFonts w:hint="eastAsia" w:ascii="仿宋" w:hAnsi="仿宋" w:eastAsia="仿宋" w:cs="仿宋"/>
          <w:sz w:val="24"/>
          <w:szCs w:val="24"/>
        </w:rPr>
        <w:t>（二）安防系统及设备器材参数及最高限价</w:t>
      </w:r>
      <w:r>
        <w:rPr>
          <w:rFonts w:hint="eastAsia" w:ascii="仿宋" w:hAnsi="仿宋" w:eastAsia="仿宋" w:cs="仿宋"/>
          <w:sz w:val="24"/>
          <w:szCs w:val="24"/>
          <w:lang w:eastAsia="zh-CN"/>
        </w:rPr>
        <w:t>）。安防设备、器材维修配件按中标价据实结算。</w:t>
      </w:r>
    </w:p>
    <w:p w14:paraId="3A941697">
      <w:pPr>
        <w:pStyle w:val="31"/>
        <w:keepNext w:val="0"/>
        <w:keepLines w:val="0"/>
        <w:pageBreakBefore w:val="0"/>
        <w:numPr>
          <w:ilvl w:val="0"/>
          <w:numId w:val="0"/>
        </w:numPr>
        <w:kinsoku/>
        <w:wordWrap/>
        <w:overflowPunct/>
        <w:topLinePunct w:val="0"/>
        <w:autoSpaceDE/>
        <w:autoSpaceDN/>
        <w:bidi w:val="0"/>
        <w:adjustRightInd/>
        <w:snapToGrid/>
        <w:spacing w:line="520" w:lineRule="atLeast"/>
        <w:ind w:firstLine="480" w:firstLineChars="200"/>
        <w:textAlignment w:val="auto"/>
        <w:rPr>
          <w:rFonts w:hint="eastAsia" w:ascii="仿宋" w:hAnsi="仿宋" w:eastAsia="仿宋" w:cs="仿宋"/>
          <w:b w:val="0"/>
          <w:bCs w:val="0"/>
          <w:i w:val="0"/>
          <w:caps w:val="0"/>
          <w:color w:val="auto"/>
          <w:spacing w:val="0"/>
          <w:sz w:val="24"/>
          <w:szCs w:val="24"/>
          <w:lang w:val="en-US" w:eastAsia="zh-CN"/>
        </w:rPr>
      </w:pPr>
      <w:r>
        <w:rPr>
          <w:rFonts w:hint="eastAsia" w:ascii="仿宋" w:hAnsi="仿宋" w:eastAsia="仿宋" w:cs="仿宋"/>
          <w:b w:val="0"/>
          <w:bCs w:val="0"/>
          <w:i w:val="0"/>
          <w:caps w:val="0"/>
          <w:snapToGrid w:val="0"/>
          <w:color w:val="auto"/>
          <w:spacing w:val="0"/>
          <w:sz w:val="24"/>
          <w:szCs w:val="24"/>
          <w:lang w:val="en-US" w:eastAsia="zh-CN" w:bidi="ar-SA"/>
        </w:rPr>
        <w:t>（三）</w:t>
      </w:r>
      <w:r>
        <w:rPr>
          <w:rFonts w:hint="eastAsia" w:ascii="仿宋" w:hAnsi="仿宋" w:eastAsia="仿宋" w:cs="仿宋"/>
          <w:b w:val="0"/>
          <w:bCs w:val="0"/>
          <w:i w:val="0"/>
          <w:caps w:val="0"/>
          <w:color w:val="auto"/>
          <w:spacing w:val="0"/>
          <w:sz w:val="24"/>
          <w:szCs w:val="24"/>
          <w:lang w:val="en-US" w:eastAsia="zh-CN"/>
        </w:rPr>
        <w:t>服务期限</w:t>
      </w:r>
    </w:p>
    <w:p w14:paraId="3C757B3D">
      <w:pPr>
        <w:pStyle w:val="31"/>
        <w:keepNext w:val="0"/>
        <w:keepLines w:val="0"/>
        <w:pageBreakBefore w:val="0"/>
        <w:numPr>
          <w:ilvl w:val="0"/>
          <w:numId w:val="0"/>
        </w:numPr>
        <w:kinsoku/>
        <w:wordWrap/>
        <w:overflowPunct/>
        <w:topLinePunct w:val="0"/>
        <w:autoSpaceDE/>
        <w:autoSpaceDN/>
        <w:bidi w:val="0"/>
        <w:adjustRightInd/>
        <w:snapToGrid/>
        <w:spacing w:line="520" w:lineRule="atLeast"/>
        <w:ind w:firstLine="480" w:firstLineChars="200"/>
        <w:textAlignment w:val="auto"/>
        <w:rPr>
          <w:rFonts w:hint="eastAsia" w:ascii="仿宋" w:hAnsi="仿宋" w:eastAsia="仿宋" w:cs="仿宋"/>
          <w:b w:val="0"/>
          <w:bCs w:val="0"/>
          <w:i w:val="0"/>
          <w:caps w:val="0"/>
          <w:color w:val="auto"/>
          <w:spacing w:val="0"/>
          <w:sz w:val="24"/>
          <w:szCs w:val="24"/>
          <w:lang w:val="en-US" w:eastAsia="zh-CN"/>
        </w:rPr>
      </w:pPr>
      <w:r>
        <w:rPr>
          <w:rFonts w:hint="eastAsia" w:ascii="仿宋" w:hAnsi="仿宋" w:eastAsia="仿宋" w:cs="仿宋"/>
          <w:b w:val="0"/>
          <w:bCs w:val="0"/>
          <w:i w:val="0"/>
          <w:caps w:val="0"/>
          <w:color w:val="auto"/>
          <w:spacing w:val="0"/>
          <w:sz w:val="24"/>
          <w:szCs w:val="24"/>
          <w:lang w:val="en-US" w:eastAsia="zh-CN"/>
        </w:rPr>
        <w:t>合同期限：一年</w:t>
      </w:r>
    </w:p>
    <w:p w14:paraId="6EDE3312">
      <w:pPr>
        <w:pStyle w:val="31"/>
        <w:keepNext w:val="0"/>
        <w:keepLines w:val="0"/>
        <w:pageBreakBefore w:val="0"/>
        <w:numPr>
          <w:ilvl w:val="0"/>
          <w:numId w:val="0"/>
        </w:numPr>
        <w:kinsoku/>
        <w:wordWrap/>
        <w:overflowPunct/>
        <w:topLinePunct w:val="0"/>
        <w:autoSpaceDE/>
        <w:autoSpaceDN/>
        <w:bidi w:val="0"/>
        <w:adjustRightInd/>
        <w:snapToGrid/>
        <w:spacing w:line="520" w:lineRule="atLeast"/>
        <w:ind w:left="0" w:leftChars="0" w:firstLine="480" w:firstLineChars="200"/>
        <w:textAlignment w:val="auto"/>
        <w:rPr>
          <w:rFonts w:hint="eastAsia" w:ascii="仿宋" w:hAnsi="仿宋" w:eastAsia="仿宋" w:cs="仿宋"/>
          <w:b w:val="0"/>
          <w:bCs w:val="0"/>
          <w:sz w:val="24"/>
          <w:szCs w:val="24"/>
          <w:lang w:val="en-US" w:eastAsia="zh-CN"/>
        </w:rPr>
      </w:pPr>
      <w:r>
        <w:rPr>
          <w:rFonts w:hint="eastAsia" w:ascii="仿宋" w:hAnsi="仿宋" w:eastAsia="仿宋" w:cs="仿宋"/>
          <w:b w:val="0"/>
          <w:bCs w:val="0"/>
          <w:snapToGrid w:val="0"/>
          <w:color w:val="000000"/>
          <w:sz w:val="24"/>
          <w:szCs w:val="24"/>
          <w:lang w:val="en-US" w:eastAsia="zh-CN" w:bidi="ar-SA"/>
        </w:rPr>
        <w:t>（四）</w:t>
      </w:r>
      <w:r>
        <w:rPr>
          <w:rFonts w:hint="eastAsia" w:ascii="仿宋" w:hAnsi="仿宋" w:eastAsia="仿宋" w:cs="仿宋"/>
          <w:b w:val="0"/>
          <w:bCs w:val="0"/>
          <w:sz w:val="24"/>
          <w:szCs w:val="24"/>
          <w:lang w:val="en-US" w:eastAsia="zh-CN"/>
        </w:rPr>
        <w:t>支付方式</w:t>
      </w:r>
    </w:p>
    <w:p w14:paraId="52C81339">
      <w:pPr>
        <w:pStyle w:val="31"/>
        <w:keepNext w:val="0"/>
        <w:keepLines w:val="0"/>
        <w:pageBreakBefore w:val="0"/>
        <w:numPr>
          <w:ilvl w:val="0"/>
          <w:numId w:val="0"/>
        </w:numPr>
        <w:kinsoku/>
        <w:wordWrap/>
        <w:overflowPunct/>
        <w:topLinePunct w:val="0"/>
        <w:autoSpaceDE/>
        <w:autoSpaceDN/>
        <w:bidi w:val="0"/>
        <w:adjustRightInd/>
        <w:snapToGrid/>
        <w:spacing w:line="520" w:lineRule="atLeast"/>
        <w:ind w:firstLine="480" w:firstLineChars="200"/>
        <w:textAlignment w:val="auto"/>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1.安防设备、器材维修配件</w:t>
      </w:r>
      <w:r>
        <w:rPr>
          <w:rFonts w:hint="eastAsia" w:ascii="仿宋" w:hAnsi="仿宋" w:eastAsia="仿宋" w:cs="仿宋"/>
          <w:lang w:val="en-US" w:eastAsia="zh-CN"/>
        </w:rPr>
        <w:t>按照（实际配送数量×最高单价限价×中标统一折扣率）的方式每季度进行据实结算</w:t>
      </w:r>
      <w:r>
        <w:rPr>
          <w:rFonts w:hint="eastAsia" w:ascii="仿宋" w:hAnsi="仿宋" w:eastAsia="仿宋" w:cs="仿宋"/>
          <w:b w:val="0"/>
          <w:bCs w:val="0"/>
          <w:sz w:val="24"/>
          <w:szCs w:val="24"/>
          <w:lang w:val="en-US" w:eastAsia="zh-CN"/>
        </w:rPr>
        <w:t>。供应商配送安装完成，经采购人验收合格，且供应商开出合法有效的发票后，采购人在收到发票之日起60个日历日内，用银行转帐的方式支付该笔供应商开具发票的费用。</w:t>
      </w:r>
    </w:p>
    <w:p w14:paraId="18C10063">
      <w:pPr>
        <w:pStyle w:val="31"/>
        <w:keepNext w:val="0"/>
        <w:keepLines w:val="0"/>
        <w:pageBreakBefore w:val="0"/>
        <w:numPr>
          <w:ilvl w:val="0"/>
          <w:numId w:val="0"/>
        </w:numPr>
        <w:kinsoku/>
        <w:wordWrap/>
        <w:overflowPunct/>
        <w:topLinePunct w:val="0"/>
        <w:autoSpaceDE/>
        <w:autoSpaceDN/>
        <w:bidi w:val="0"/>
        <w:adjustRightInd/>
        <w:snapToGrid/>
        <w:spacing w:line="520" w:lineRule="atLeast"/>
        <w:ind w:firstLine="482" w:firstLineChars="200"/>
        <w:textAlignment w:val="auto"/>
        <w:rPr>
          <w:rFonts w:hint="eastAsia" w:ascii="仿宋" w:hAnsi="仿宋" w:eastAsia="仿宋" w:cs="仿宋"/>
          <w:b/>
          <w:bCs/>
          <w:sz w:val="24"/>
          <w:szCs w:val="24"/>
        </w:rPr>
      </w:pPr>
      <w:r>
        <w:rPr>
          <w:rFonts w:hint="eastAsia" w:ascii="仿宋" w:hAnsi="仿宋" w:eastAsia="仿宋" w:cs="仿宋"/>
          <w:lang w:val="en-US" w:eastAsia="zh-CN"/>
        </w:rPr>
        <w:t>2.服务期满或实际结算总金额累计达到31.5万，任一条件先行达成时，</w:t>
      </w:r>
      <w:r>
        <w:rPr>
          <w:rFonts w:hint="eastAsia" w:ascii="仿宋" w:hAnsi="仿宋" w:eastAsia="仿宋" w:cs="仿宋"/>
          <w:b/>
          <w:bCs/>
          <w:sz w:val="24"/>
          <w:szCs w:val="24"/>
        </w:rPr>
        <w:t>该合同</w:t>
      </w:r>
      <w:r>
        <w:rPr>
          <w:rFonts w:hint="eastAsia" w:ascii="仿宋" w:hAnsi="仿宋" w:eastAsia="仿宋" w:cs="仿宋"/>
          <w:b/>
          <w:bCs/>
          <w:sz w:val="24"/>
          <w:szCs w:val="24"/>
          <w:lang w:val="en-US" w:eastAsia="zh-CN"/>
        </w:rPr>
        <w:t>自动</w:t>
      </w:r>
      <w:r>
        <w:rPr>
          <w:rFonts w:hint="eastAsia" w:ascii="仿宋" w:hAnsi="仿宋" w:eastAsia="仿宋" w:cs="仿宋"/>
          <w:b/>
          <w:bCs/>
          <w:sz w:val="24"/>
          <w:szCs w:val="24"/>
        </w:rPr>
        <w:t>终止。</w:t>
      </w:r>
    </w:p>
    <w:p w14:paraId="338CFFE0">
      <w:pPr>
        <w:pStyle w:val="31"/>
        <w:keepNext w:val="0"/>
        <w:keepLines w:val="0"/>
        <w:pageBreakBefore w:val="0"/>
        <w:numPr>
          <w:ilvl w:val="0"/>
          <w:numId w:val="0"/>
        </w:numPr>
        <w:kinsoku/>
        <w:wordWrap/>
        <w:overflowPunct/>
        <w:topLinePunct w:val="0"/>
        <w:autoSpaceDE/>
        <w:autoSpaceDN/>
        <w:bidi w:val="0"/>
        <w:adjustRightInd/>
        <w:snapToGrid/>
        <w:spacing w:line="520" w:lineRule="atLeast"/>
        <w:ind w:firstLine="482" w:firstLineChars="200"/>
        <w:textAlignment w:val="auto"/>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3.说明：本章中的条款为本项目的实质性要求条款（ ★ ），供应商应全部满足，否则其响应文件作无效处理。</w:t>
      </w:r>
    </w:p>
    <w:p w14:paraId="1ED1D89D">
      <w:pPr>
        <w:spacing w:before="480" w:after="480" w:line="288" w:lineRule="auto"/>
        <w:ind w:left="0"/>
        <w:jc w:val="center"/>
        <w:rPr>
          <w:rFonts w:hint="eastAsia" w:ascii="方正公文小标宋" w:hAnsi="方正公文小标宋" w:eastAsia="方正公文小标宋" w:cs="方正公文小标宋"/>
          <w:sz w:val="44"/>
          <w:szCs w:val="44"/>
        </w:rPr>
      </w:pPr>
      <w:r>
        <w:rPr>
          <w:rFonts w:hint="eastAsia" w:ascii="方正公文小标宋" w:hAnsi="方正公文小标宋" w:eastAsia="方正公文小标宋" w:cs="方正公文小标宋"/>
          <w:b/>
          <w:sz w:val="44"/>
          <w:szCs w:val="44"/>
        </w:rPr>
        <w:t>安防器材配送考核表</w:t>
      </w:r>
    </w:p>
    <w:p w14:paraId="7C6299FB">
      <w:pPr>
        <w:spacing w:before="120" w:after="120" w:line="288" w:lineRule="auto"/>
        <w:ind w:left="0"/>
        <w:jc w:val="left"/>
        <w:rPr>
          <w:rFonts w:hint="eastAsia" w:ascii="仿宋" w:hAnsi="仿宋" w:eastAsia="仿宋" w:cs="仿宋"/>
          <w:b/>
          <w:bCs/>
        </w:rPr>
      </w:pPr>
      <w:r>
        <w:rPr>
          <w:rFonts w:hint="eastAsia" w:ascii="仿宋" w:hAnsi="仿宋" w:eastAsia="仿宋" w:cs="仿宋"/>
          <w:b/>
          <w:bCs/>
          <w:sz w:val="22"/>
        </w:rPr>
        <w:t>考核周期：____年____月____日 - ____年____月____日</w:t>
      </w:r>
    </w:p>
    <w:p w14:paraId="5E48EB92">
      <w:pPr>
        <w:spacing w:before="120" w:after="120" w:line="288" w:lineRule="auto"/>
        <w:ind w:left="0"/>
        <w:jc w:val="left"/>
        <w:rPr>
          <w:rFonts w:hint="eastAsia" w:ascii="仿宋" w:hAnsi="仿宋" w:eastAsia="仿宋" w:cs="仿宋"/>
          <w:b/>
          <w:bCs/>
        </w:rPr>
      </w:pPr>
      <w:r>
        <w:rPr>
          <w:rFonts w:hint="eastAsia" w:ascii="仿宋" w:hAnsi="仿宋" w:eastAsia="仿宋" w:cs="仿宋"/>
          <w:b/>
          <w:bCs/>
          <w:sz w:val="22"/>
        </w:rPr>
        <w:t xml:space="preserve">配送人员/团队：________________ 考核人：_________ 考核得分：_________ </w:t>
      </w:r>
    </w:p>
    <w:tbl>
      <w:tblPr>
        <w:tblStyle w:val="1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844"/>
        <w:gridCol w:w="874"/>
        <w:gridCol w:w="3997"/>
        <w:gridCol w:w="820"/>
        <w:gridCol w:w="803"/>
        <w:gridCol w:w="942"/>
      </w:tblGrid>
      <w:tr w14:paraId="3E5882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844" w:type="dxa"/>
            <w:noWrap w:val="0"/>
            <w:tcMar>
              <w:top w:w="60" w:type="dxa"/>
              <w:left w:w="120" w:type="dxa"/>
              <w:bottom w:w="30" w:type="dxa"/>
              <w:right w:w="120" w:type="dxa"/>
            </w:tcMar>
            <w:vAlign w:val="center"/>
          </w:tcPr>
          <w:p w14:paraId="68CDED47">
            <w:pPr>
              <w:spacing w:before="120" w:after="120" w:line="288" w:lineRule="auto"/>
              <w:ind w:left="0"/>
              <w:jc w:val="center"/>
              <w:rPr>
                <w:rFonts w:hint="eastAsia" w:ascii="仿宋" w:hAnsi="仿宋" w:eastAsia="仿宋" w:cs="仿宋"/>
              </w:rPr>
            </w:pPr>
            <w:r>
              <w:rPr>
                <w:rFonts w:hint="eastAsia" w:ascii="仿宋" w:hAnsi="仿宋" w:eastAsia="仿宋" w:cs="仿宋"/>
                <w:sz w:val="22"/>
              </w:rPr>
              <w:t>考核序号</w:t>
            </w:r>
          </w:p>
        </w:tc>
        <w:tc>
          <w:tcPr>
            <w:tcW w:w="874" w:type="dxa"/>
            <w:noWrap w:val="0"/>
            <w:tcMar>
              <w:top w:w="60" w:type="dxa"/>
              <w:left w:w="120" w:type="dxa"/>
              <w:bottom w:w="30" w:type="dxa"/>
              <w:right w:w="120" w:type="dxa"/>
            </w:tcMar>
            <w:vAlign w:val="center"/>
          </w:tcPr>
          <w:p w14:paraId="7A30B2DA">
            <w:pPr>
              <w:spacing w:before="120" w:after="120" w:line="288" w:lineRule="auto"/>
              <w:ind w:left="0"/>
              <w:jc w:val="center"/>
              <w:rPr>
                <w:rFonts w:hint="eastAsia" w:ascii="仿宋" w:hAnsi="仿宋" w:eastAsia="仿宋" w:cs="仿宋"/>
              </w:rPr>
            </w:pPr>
            <w:r>
              <w:rPr>
                <w:rFonts w:hint="eastAsia" w:ascii="仿宋" w:hAnsi="仿宋" w:eastAsia="仿宋" w:cs="仿宋"/>
                <w:sz w:val="22"/>
              </w:rPr>
              <w:t>考核项目</w:t>
            </w:r>
          </w:p>
        </w:tc>
        <w:tc>
          <w:tcPr>
            <w:tcW w:w="3997" w:type="dxa"/>
            <w:noWrap w:val="0"/>
            <w:tcMar>
              <w:top w:w="60" w:type="dxa"/>
              <w:left w:w="120" w:type="dxa"/>
              <w:bottom w:w="30" w:type="dxa"/>
              <w:right w:w="120" w:type="dxa"/>
            </w:tcMar>
            <w:vAlign w:val="center"/>
          </w:tcPr>
          <w:p w14:paraId="2418DFAB">
            <w:pPr>
              <w:spacing w:before="120" w:after="120" w:line="288" w:lineRule="auto"/>
              <w:ind w:left="0"/>
              <w:jc w:val="center"/>
              <w:rPr>
                <w:rFonts w:hint="eastAsia" w:ascii="仿宋" w:hAnsi="仿宋" w:eastAsia="仿宋" w:cs="仿宋"/>
              </w:rPr>
            </w:pPr>
            <w:r>
              <w:rPr>
                <w:rFonts w:hint="eastAsia" w:ascii="仿宋" w:hAnsi="仿宋" w:eastAsia="仿宋" w:cs="仿宋"/>
                <w:sz w:val="22"/>
              </w:rPr>
              <w:t>考核标准</w:t>
            </w:r>
          </w:p>
        </w:tc>
        <w:tc>
          <w:tcPr>
            <w:tcW w:w="820" w:type="dxa"/>
            <w:noWrap w:val="0"/>
            <w:tcMar>
              <w:top w:w="60" w:type="dxa"/>
              <w:left w:w="120" w:type="dxa"/>
              <w:bottom w:w="30" w:type="dxa"/>
              <w:right w:w="120" w:type="dxa"/>
            </w:tcMar>
            <w:vAlign w:val="center"/>
          </w:tcPr>
          <w:p w14:paraId="055DEA0E">
            <w:pPr>
              <w:spacing w:before="120" w:after="120" w:line="288" w:lineRule="auto"/>
              <w:ind w:left="0"/>
              <w:jc w:val="center"/>
              <w:rPr>
                <w:rFonts w:hint="eastAsia" w:ascii="仿宋" w:hAnsi="仿宋" w:eastAsia="仿宋" w:cs="仿宋"/>
              </w:rPr>
            </w:pPr>
            <w:r>
              <w:rPr>
                <w:rFonts w:hint="eastAsia" w:ascii="仿宋" w:hAnsi="仿宋" w:eastAsia="仿宋" w:cs="仿宋"/>
                <w:sz w:val="22"/>
              </w:rPr>
              <w:t>权重</w:t>
            </w:r>
          </w:p>
        </w:tc>
        <w:tc>
          <w:tcPr>
            <w:tcW w:w="803" w:type="dxa"/>
            <w:noWrap w:val="0"/>
            <w:tcMar>
              <w:top w:w="60" w:type="dxa"/>
              <w:left w:w="120" w:type="dxa"/>
              <w:bottom w:w="30" w:type="dxa"/>
              <w:right w:w="120" w:type="dxa"/>
            </w:tcMar>
            <w:vAlign w:val="center"/>
          </w:tcPr>
          <w:p w14:paraId="5E206392">
            <w:pPr>
              <w:spacing w:before="120" w:after="120" w:line="288" w:lineRule="auto"/>
              <w:ind w:left="0"/>
              <w:jc w:val="center"/>
              <w:rPr>
                <w:rFonts w:hint="eastAsia" w:ascii="仿宋" w:hAnsi="仿宋" w:eastAsia="仿宋" w:cs="仿宋"/>
              </w:rPr>
            </w:pPr>
            <w:r>
              <w:rPr>
                <w:rFonts w:hint="eastAsia" w:ascii="仿宋" w:hAnsi="仿宋" w:eastAsia="仿宋" w:cs="仿宋"/>
                <w:sz w:val="22"/>
              </w:rPr>
              <w:t>考核得分</w:t>
            </w:r>
          </w:p>
        </w:tc>
        <w:tc>
          <w:tcPr>
            <w:tcW w:w="942" w:type="dxa"/>
            <w:noWrap w:val="0"/>
            <w:tcMar>
              <w:top w:w="60" w:type="dxa"/>
              <w:left w:w="120" w:type="dxa"/>
              <w:bottom w:w="30" w:type="dxa"/>
              <w:right w:w="120" w:type="dxa"/>
            </w:tcMar>
            <w:vAlign w:val="center"/>
          </w:tcPr>
          <w:p w14:paraId="544DF2C1">
            <w:pPr>
              <w:spacing w:before="120" w:after="120" w:line="288" w:lineRule="auto"/>
              <w:ind w:left="0"/>
              <w:jc w:val="center"/>
              <w:rPr>
                <w:rFonts w:hint="eastAsia" w:ascii="仿宋" w:hAnsi="仿宋" w:eastAsia="仿宋" w:cs="仿宋"/>
              </w:rPr>
            </w:pPr>
            <w:r>
              <w:rPr>
                <w:rFonts w:hint="eastAsia" w:ascii="仿宋" w:hAnsi="仿宋" w:eastAsia="仿宋" w:cs="仿宋"/>
                <w:sz w:val="22"/>
              </w:rPr>
              <w:t>备注（扣分/加分说明）</w:t>
            </w:r>
          </w:p>
        </w:tc>
      </w:tr>
      <w:tr w14:paraId="64E845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844" w:type="dxa"/>
            <w:noWrap w:val="0"/>
            <w:tcMar>
              <w:top w:w="60" w:type="dxa"/>
              <w:left w:w="120" w:type="dxa"/>
              <w:bottom w:w="30" w:type="dxa"/>
              <w:right w:w="120" w:type="dxa"/>
            </w:tcMar>
            <w:vAlign w:val="top"/>
          </w:tcPr>
          <w:p w14:paraId="474F3362">
            <w:pPr>
              <w:spacing w:before="120" w:after="120" w:line="288" w:lineRule="auto"/>
              <w:ind w:left="0"/>
              <w:jc w:val="left"/>
              <w:rPr>
                <w:rFonts w:hint="eastAsia" w:ascii="仿宋" w:hAnsi="仿宋" w:eastAsia="仿宋" w:cs="仿宋"/>
              </w:rPr>
            </w:pPr>
            <w:r>
              <w:rPr>
                <w:rFonts w:hint="eastAsia" w:ascii="仿宋" w:hAnsi="仿宋" w:eastAsia="仿宋" w:cs="仿宋"/>
                <w:sz w:val="22"/>
              </w:rPr>
              <w:t>1</w:t>
            </w:r>
          </w:p>
        </w:tc>
        <w:tc>
          <w:tcPr>
            <w:tcW w:w="874" w:type="dxa"/>
            <w:noWrap w:val="0"/>
            <w:tcMar>
              <w:top w:w="60" w:type="dxa"/>
              <w:left w:w="120" w:type="dxa"/>
              <w:bottom w:w="30" w:type="dxa"/>
              <w:right w:w="120" w:type="dxa"/>
            </w:tcMar>
            <w:vAlign w:val="top"/>
          </w:tcPr>
          <w:p w14:paraId="37B27B11">
            <w:pPr>
              <w:spacing w:before="120" w:after="120" w:line="288" w:lineRule="auto"/>
              <w:ind w:left="0"/>
              <w:jc w:val="left"/>
              <w:rPr>
                <w:rFonts w:hint="eastAsia" w:ascii="仿宋" w:hAnsi="仿宋" w:eastAsia="仿宋" w:cs="仿宋"/>
              </w:rPr>
            </w:pPr>
            <w:r>
              <w:rPr>
                <w:rFonts w:hint="eastAsia" w:ascii="仿宋" w:hAnsi="仿宋" w:eastAsia="仿宋" w:cs="仿宋"/>
                <w:sz w:val="22"/>
              </w:rPr>
              <w:t>配送时效</w:t>
            </w:r>
          </w:p>
        </w:tc>
        <w:tc>
          <w:tcPr>
            <w:tcW w:w="3997" w:type="dxa"/>
            <w:noWrap w:val="0"/>
            <w:tcMar>
              <w:top w:w="60" w:type="dxa"/>
              <w:left w:w="120" w:type="dxa"/>
              <w:bottom w:w="30" w:type="dxa"/>
              <w:right w:w="120" w:type="dxa"/>
            </w:tcMar>
            <w:vAlign w:val="top"/>
          </w:tcPr>
          <w:p w14:paraId="381C103C">
            <w:pPr>
              <w:spacing w:before="120" w:after="120" w:line="288" w:lineRule="auto"/>
              <w:ind w:left="0"/>
              <w:jc w:val="left"/>
              <w:rPr>
                <w:rFonts w:hint="eastAsia" w:ascii="仿宋" w:hAnsi="仿宋" w:eastAsia="仿宋" w:cs="仿宋"/>
              </w:rPr>
            </w:pPr>
            <w:r>
              <w:rPr>
                <w:rFonts w:hint="eastAsia" w:ascii="仿宋" w:hAnsi="仿宋" w:eastAsia="仿宋" w:cs="仿宋"/>
                <w:sz w:val="22"/>
              </w:rPr>
              <w:t>1. 按约定时间准时送达，无延迟（延迟1小时内扣5分，1-3小时扣10分，3小时以上扣20分）；2. 紧急订单按要求优先配送，未按要求扣15分；3. 每月准时送达率≥98%，每低1%扣5分。</w:t>
            </w:r>
          </w:p>
        </w:tc>
        <w:tc>
          <w:tcPr>
            <w:tcW w:w="820" w:type="dxa"/>
            <w:noWrap w:val="0"/>
            <w:tcMar>
              <w:top w:w="60" w:type="dxa"/>
              <w:left w:w="120" w:type="dxa"/>
              <w:bottom w:w="30" w:type="dxa"/>
              <w:right w:w="120" w:type="dxa"/>
            </w:tcMar>
            <w:vAlign w:val="top"/>
          </w:tcPr>
          <w:p w14:paraId="127F25E3">
            <w:pPr>
              <w:spacing w:before="120" w:after="120" w:line="288" w:lineRule="auto"/>
              <w:ind w:left="0"/>
              <w:jc w:val="left"/>
              <w:rPr>
                <w:rFonts w:hint="eastAsia" w:ascii="仿宋" w:hAnsi="仿宋" w:eastAsia="仿宋" w:cs="仿宋"/>
              </w:rPr>
            </w:pPr>
            <w:r>
              <w:rPr>
                <w:rFonts w:hint="eastAsia" w:ascii="仿宋" w:hAnsi="仿宋" w:eastAsia="仿宋" w:cs="仿宋"/>
                <w:sz w:val="22"/>
              </w:rPr>
              <w:t>25%</w:t>
            </w:r>
          </w:p>
        </w:tc>
        <w:tc>
          <w:tcPr>
            <w:tcW w:w="803" w:type="dxa"/>
            <w:noWrap w:val="0"/>
            <w:tcMar>
              <w:top w:w="60" w:type="dxa"/>
              <w:left w:w="120" w:type="dxa"/>
              <w:bottom w:w="30" w:type="dxa"/>
              <w:right w:w="120" w:type="dxa"/>
            </w:tcMar>
            <w:vAlign w:val="top"/>
          </w:tcPr>
          <w:p w14:paraId="1D5CFC8E">
            <w:pPr>
              <w:spacing w:before="120" w:after="120" w:line="288" w:lineRule="auto"/>
              <w:ind w:left="0"/>
              <w:jc w:val="left"/>
              <w:rPr>
                <w:rFonts w:hint="eastAsia" w:ascii="仿宋" w:hAnsi="仿宋" w:eastAsia="仿宋" w:cs="仿宋"/>
              </w:rPr>
            </w:pPr>
          </w:p>
        </w:tc>
        <w:tc>
          <w:tcPr>
            <w:tcW w:w="942" w:type="dxa"/>
            <w:noWrap w:val="0"/>
            <w:tcMar>
              <w:top w:w="60" w:type="dxa"/>
              <w:left w:w="120" w:type="dxa"/>
              <w:bottom w:w="30" w:type="dxa"/>
              <w:right w:w="120" w:type="dxa"/>
            </w:tcMar>
            <w:vAlign w:val="top"/>
          </w:tcPr>
          <w:p w14:paraId="6A3E7A36">
            <w:pPr>
              <w:spacing w:before="120" w:after="120" w:line="288" w:lineRule="auto"/>
              <w:ind w:left="0"/>
              <w:jc w:val="left"/>
              <w:rPr>
                <w:rFonts w:hint="eastAsia" w:ascii="仿宋" w:hAnsi="仿宋" w:eastAsia="仿宋" w:cs="仿宋"/>
              </w:rPr>
            </w:pPr>
          </w:p>
        </w:tc>
      </w:tr>
      <w:tr w14:paraId="577354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844" w:type="dxa"/>
            <w:noWrap w:val="0"/>
            <w:tcMar>
              <w:top w:w="60" w:type="dxa"/>
              <w:left w:w="120" w:type="dxa"/>
              <w:bottom w:w="30" w:type="dxa"/>
              <w:right w:w="120" w:type="dxa"/>
            </w:tcMar>
            <w:vAlign w:val="top"/>
          </w:tcPr>
          <w:p w14:paraId="2A50761A">
            <w:pPr>
              <w:spacing w:before="120" w:after="120" w:line="288" w:lineRule="auto"/>
              <w:ind w:left="0"/>
              <w:jc w:val="left"/>
              <w:rPr>
                <w:rFonts w:hint="eastAsia" w:ascii="仿宋" w:hAnsi="仿宋" w:eastAsia="仿宋" w:cs="仿宋"/>
              </w:rPr>
            </w:pPr>
            <w:r>
              <w:rPr>
                <w:rFonts w:hint="eastAsia" w:ascii="仿宋" w:hAnsi="仿宋" w:eastAsia="仿宋" w:cs="仿宋"/>
                <w:sz w:val="22"/>
              </w:rPr>
              <w:t>2</w:t>
            </w:r>
          </w:p>
        </w:tc>
        <w:tc>
          <w:tcPr>
            <w:tcW w:w="874" w:type="dxa"/>
            <w:noWrap w:val="0"/>
            <w:tcMar>
              <w:top w:w="60" w:type="dxa"/>
              <w:left w:w="120" w:type="dxa"/>
              <w:bottom w:w="30" w:type="dxa"/>
              <w:right w:w="120" w:type="dxa"/>
            </w:tcMar>
            <w:vAlign w:val="top"/>
          </w:tcPr>
          <w:p w14:paraId="1879BD44">
            <w:pPr>
              <w:spacing w:before="120" w:after="120" w:line="288" w:lineRule="auto"/>
              <w:ind w:left="0"/>
              <w:jc w:val="left"/>
              <w:rPr>
                <w:rFonts w:hint="eastAsia" w:ascii="仿宋" w:hAnsi="仿宋" w:eastAsia="仿宋" w:cs="仿宋"/>
              </w:rPr>
            </w:pPr>
            <w:r>
              <w:rPr>
                <w:rFonts w:hint="eastAsia" w:ascii="仿宋" w:hAnsi="仿宋" w:eastAsia="仿宋" w:cs="仿宋"/>
                <w:sz w:val="22"/>
              </w:rPr>
              <w:t>器材完好度</w:t>
            </w:r>
          </w:p>
        </w:tc>
        <w:tc>
          <w:tcPr>
            <w:tcW w:w="3997" w:type="dxa"/>
            <w:noWrap w:val="0"/>
            <w:tcMar>
              <w:top w:w="60" w:type="dxa"/>
              <w:left w:w="120" w:type="dxa"/>
              <w:bottom w:w="30" w:type="dxa"/>
              <w:right w:w="120" w:type="dxa"/>
            </w:tcMar>
            <w:vAlign w:val="top"/>
          </w:tcPr>
          <w:p w14:paraId="42D5B03E">
            <w:pPr>
              <w:spacing w:before="120" w:after="120" w:line="288" w:lineRule="auto"/>
              <w:ind w:left="0"/>
              <w:jc w:val="left"/>
              <w:rPr>
                <w:rFonts w:hint="eastAsia" w:ascii="仿宋" w:hAnsi="仿宋" w:eastAsia="仿宋" w:cs="仿宋"/>
              </w:rPr>
            </w:pPr>
            <w:r>
              <w:rPr>
                <w:rFonts w:hint="eastAsia" w:ascii="仿宋" w:hAnsi="仿宋" w:eastAsia="仿宋" w:cs="仿宋"/>
                <w:sz w:val="22"/>
              </w:rPr>
              <w:t>1. 配送器材无破损、无划痕、无配件缺失，出现1件轻微破损扣5分，严重破损扣15分，配件缺失每件扣8分；2. 器材包装完好，防水、防碰撞措施到位，包装破损导致器材受损扣10分；3. 器材型号、数量与订单一致，错发、漏发每件扣10分，错发严重影响使用扣20分。</w:t>
            </w:r>
          </w:p>
        </w:tc>
        <w:tc>
          <w:tcPr>
            <w:tcW w:w="820" w:type="dxa"/>
            <w:noWrap w:val="0"/>
            <w:tcMar>
              <w:top w:w="60" w:type="dxa"/>
              <w:left w:w="120" w:type="dxa"/>
              <w:bottom w:w="30" w:type="dxa"/>
              <w:right w:w="120" w:type="dxa"/>
            </w:tcMar>
            <w:vAlign w:val="top"/>
          </w:tcPr>
          <w:p w14:paraId="221B698B">
            <w:pPr>
              <w:spacing w:before="120" w:after="120" w:line="288" w:lineRule="auto"/>
              <w:ind w:left="0"/>
              <w:jc w:val="left"/>
              <w:rPr>
                <w:rFonts w:hint="eastAsia" w:ascii="仿宋" w:hAnsi="仿宋" w:eastAsia="仿宋" w:cs="仿宋"/>
              </w:rPr>
            </w:pPr>
            <w:r>
              <w:rPr>
                <w:rFonts w:hint="eastAsia" w:ascii="仿宋" w:hAnsi="仿宋" w:eastAsia="仿宋" w:cs="仿宋"/>
                <w:sz w:val="22"/>
              </w:rPr>
              <w:t>30%</w:t>
            </w:r>
          </w:p>
        </w:tc>
        <w:tc>
          <w:tcPr>
            <w:tcW w:w="803" w:type="dxa"/>
            <w:noWrap w:val="0"/>
            <w:tcMar>
              <w:top w:w="60" w:type="dxa"/>
              <w:left w:w="120" w:type="dxa"/>
              <w:bottom w:w="30" w:type="dxa"/>
              <w:right w:w="120" w:type="dxa"/>
            </w:tcMar>
            <w:vAlign w:val="top"/>
          </w:tcPr>
          <w:p w14:paraId="100EBA53">
            <w:pPr>
              <w:spacing w:before="120" w:after="120" w:line="288" w:lineRule="auto"/>
              <w:ind w:left="0"/>
              <w:jc w:val="left"/>
              <w:rPr>
                <w:rFonts w:hint="eastAsia" w:ascii="仿宋" w:hAnsi="仿宋" w:eastAsia="仿宋" w:cs="仿宋"/>
              </w:rPr>
            </w:pPr>
          </w:p>
        </w:tc>
        <w:tc>
          <w:tcPr>
            <w:tcW w:w="942" w:type="dxa"/>
            <w:noWrap w:val="0"/>
            <w:tcMar>
              <w:top w:w="60" w:type="dxa"/>
              <w:left w:w="120" w:type="dxa"/>
              <w:bottom w:w="30" w:type="dxa"/>
              <w:right w:w="120" w:type="dxa"/>
            </w:tcMar>
            <w:vAlign w:val="top"/>
          </w:tcPr>
          <w:p w14:paraId="1D1DE18F">
            <w:pPr>
              <w:spacing w:before="120" w:after="120" w:line="288" w:lineRule="auto"/>
              <w:ind w:left="0"/>
              <w:jc w:val="left"/>
              <w:rPr>
                <w:rFonts w:hint="eastAsia" w:ascii="仿宋" w:hAnsi="仿宋" w:eastAsia="仿宋" w:cs="仿宋"/>
              </w:rPr>
            </w:pPr>
          </w:p>
        </w:tc>
      </w:tr>
      <w:tr w14:paraId="2C2088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844" w:type="dxa"/>
            <w:noWrap w:val="0"/>
            <w:tcMar>
              <w:top w:w="60" w:type="dxa"/>
              <w:left w:w="120" w:type="dxa"/>
              <w:bottom w:w="30" w:type="dxa"/>
              <w:right w:w="120" w:type="dxa"/>
            </w:tcMar>
            <w:vAlign w:val="top"/>
          </w:tcPr>
          <w:p w14:paraId="2A9E2217">
            <w:pPr>
              <w:spacing w:before="120" w:after="120" w:line="288" w:lineRule="auto"/>
              <w:ind w:left="0"/>
              <w:jc w:val="left"/>
              <w:rPr>
                <w:rFonts w:hint="eastAsia" w:ascii="仿宋" w:hAnsi="仿宋" w:eastAsia="仿宋" w:cs="仿宋"/>
              </w:rPr>
            </w:pPr>
            <w:r>
              <w:rPr>
                <w:rFonts w:hint="eastAsia" w:ascii="仿宋" w:hAnsi="仿宋" w:eastAsia="仿宋" w:cs="仿宋"/>
                <w:sz w:val="22"/>
              </w:rPr>
              <w:t>3</w:t>
            </w:r>
          </w:p>
        </w:tc>
        <w:tc>
          <w:tcPr>
            <w:tcW w:w="874" w:type="dxa"/>
            <w:noWrap w:val="0"/>
            <w:tcMar>
              <w:top w:w="60" w:type="dxa"/>
              <w:left w:w="120" w:type="dxa"/>
              <w:bottom w:w="30" w:type="dxa"/>
              <w:right w:w="120" w:type="dxa"/>
            </w:tcMar>
            <w:vAlign w:val="top"/>
          </w:tcPr>
          <w:p w14:paraId="411D414B">
            <w:pPr>
              <w:spacing w:before="120" w:after="120" w:line="288" w:lineRule="auto"/>
              <w:ind w:left="0"/>
              <w:jc w:val="left"/>
              <w:rPr>
                <w:rFonts w:hint="eastAsia" w:ascii="仿宋" w:hAnsi="仿宋" w:eastAsia="仿宋" w:cs="仿宋"/>
              </w:rPr>
            </w:pPr>
            <w:r>
              <w:rPr>
                <w:rFonts w:hint="eastAsia" w:ascii="仿宋" w:hAnsi="仿宋" w:eastAsia="仿宋" w:cs="仿宋"/>
                <w:sz w:val="22"/>
              </w:rPr>
              <w:t>服务质量</w:t>
            </w:r>
          </w:p>
        </w:tc>
        <w:tc>
          <w:tcPr>
            <w:tcW w:w="3997" w:type="dxa"/>
            <w:noWrap w:val="0"/>
            <w:tcMar>
              <w:top w:w="60" w:type="dxa"/>
              <w:left w:w="120" w:type="dxa"/>
              <w:bottom w:w="30" w:type="dxa"/>
              <w:right w:w="120" w:type="dxa"/>
            </w:tcMar>
            <w:vAlign w:val="top"/>
          </w:tcPr>
          <w:p w14:paraId="1A1054FE">
            <w:pPr>
              <w:spacing w:before="120" w:after="120" w:line="288" w:lineRule="auto"/>
              <w:ind w:left="0"/>
              <w:jc w:val="left"/>
              <w:rPr>
                <w:rFonts w:hint="eastAsia" w:ascii="仿宋" w:hAnsi="仿宋" w:eastAsia="仿宋" w:cs="仿宋"/>
              </w:rPr>
            </w:pPr>
            <w:r>
              <w:rPr>
                <w:rFonts w:hint="eastAsia" w:ascii="仿宋" w:hAnsi="仿宋" w:eastAsia="仿宋" w:cs="仿宋"/>
                <w:sz w:val="22"/>
              </w:rPr>
              <w:t>1. 与收货方沟通礼貌、耐心，主动核对器材信息，态度恶劣被投诉1次扣10分；2. 按要求协助收货方清点、验收器材，未协助验收扣5分；3. 及时反馈配送过程中的异常（如道路堵塞、器材异常），未及时反馈导致延误或损失扣10分。</w:t>
            </w:r>
          </w:p>
        </w:tc>
        <w:tc>
          <w:tcPr>
            <w:tcW w:w="820" w:type="dxa"/>
            <w:noWrap w:val="0"/>
            <w:tcMar>
              <w:top w:w="60" w:type="dxa"/>
              <w:left w:w="120" w:type="dxa"/>
              <w:bottom w:w="30" w:type="dxa"/>
              <w:right w:w="120" w:type="dxa"/>
            </w:tcMar>
            <w:vAlign w:val="top"/>
          </w:tcPr>
          <w:p w14:paraId="1698CD01">
            <w:pPr>
              <w:spacing w:before="120" w:after="120" w:line="288" w:lineRule="auto"/>
              <w:ind w:left="0"/>
              <w:jc w:val="left"/>
              <w:rPr>
                <w:rFonts w:hint="eastAsia" w:ascii="仿宋" w:hAnsi="仿宋" w:eastAsia="仿宋" w:cs="仿宋"/>
              </w:rPr>
            </w:pPr>
            <w:r>
              <w:rPr>
                <w:rFonts w:hint="eastAsia" w:ascii="仿宋" w:hAnsi="仿宋" w:eastAsia="仿宋" w:cs="仿宋"/>
                <w:sz w:val="22"/>
              </w:rPr>
              <w:t>15%</w:t>
            </w:r>
          </w:p>
        </w:tc>
        <w:tc>
          <w:tcPr>
            <w:tcW w:w="803" w:type="dxa"/>
            <w:noWrap w:val="0"/>
            <w:tcMar>
              <w:top w:w="60" w:type="dxa"/>
              <w:left w:w="120" w:type="dxa"/>
              <w:bottom w:w="30" w:type="dxa"/>
              <w:right w:w="120" w:type="dxa"/>
            </w:tcMar>
            <w:vAlign w:val="top"/>
          </w:tcPr>
          <w:p w14:paraId="643F84DE">
            <w:pPr>
              <w:spacing w:before="120" w:after="120" w:line="288" w:lineRule="auto"/>
              <w:ind w:left="0"/>
              <w:jc w:val="left"/>
              <w:rPr>
                <w:rFonts w:hint="eastAsia" w:ascii="仿宋" w:hAnsi="仿宋" w:eastAsia="仿宋" w:cs="仿宋"/>
              </w:rPr>
            </w:pPr>
          </w:p>
        </w:tc>
        <w:tc>
          <w:tcPr>
            <w:tcW w:w="942" w:type="dxa"/>
            <w:noWrap w:val="0"/>
            <w:tcMar>
              <w:top w:w="60" w:type="dxa"/>
              <w:left w:w="120" w:type="dxa"/>
              <w:bottom w:w="30" w:type="dxa"/>
              <w:right w:w="120" w:type="dxa"/>
            </w:tcMar>
            <w:vAlign w:val="top"/>
          </w:tcPr>
          <w:p w14:paraId="63CE1CDB">
            <w:pPr>
              <w:spacing w:before="120" w:after="120" w:line="288" w:lineRule="auto"/>
              <w:ind w:left="0"/>
              <w:jc w:val="left"/>
              <w:rPr>
                <w:rFonts w:hint="eastAsia" w:ascii="仿宋" w:hAnsi="仿宋" w:eastAsia="仿宋" w:cs="仿宋"/>
              </w:rPr>
            </w:pPr>
          </w:p>
        </w:tc>
      </w:tr>
      <w:tr w14:paraId="4128D3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844" w:type="dxa"/>
            <w:noWrap w:val="0"/>
            <w:tcMar>
              <w:top w:w="60" w:type="dxa"/>
              <w:left w:w="120" w:type="dxa"/>
              <w:bottom w:w="30" w:type="dxa"/>
              <w:right w:w="120" w:type="dxa"/>
            </w:tcMar>
            <w:vAlign w:val="top"/>
          </w:tcPr>
          <w:p w14:paraId="525CBD25">
            <w:pPr>
              <w:spacing w:before="120" w:after="120" w:line="288" w:lineRule="auto"/>
              <w:ind w:left="0"/>
              <w:jc w:val="left"/>
              <w:rPr>
                <w:rFonts w:hint="eastAsia" w:ascii="仿宋" w:hAnsi="仿宋" w:eastAsia="仿宋" w:cs="仿宋"/>
              </w:rPr>
            </w:pPr>
            <w:r>
              <w:rPr>
                <w:rFonts w:hint="eastAsia" w:ascii="仿宋" w:hAnsi="仿宋" w:eastAsia="仿宋" w:cs="仿宋"/>
                <w:sz w:val="22"/>
              </w:rPr>
              <w:t>4</w:t>
            </w:r>
          </w:p>
        </w:tc>
        <w:tc>
          <w:tcPr>
            <w:tcW w:w="874" w:type="dxa"/>
            <w:noWrap w:val="0"/>
            <w:tcMar>
              <w:top w:w="60" w:type="dxa"/>
              <w:left w:w="120" w:type="dxa"/>
              <w:bottom w:w="30" w:type="dxa"/>
              <w:right w:w="120" w:type="dxa"/>
            </w:tcMar>
            <w:vAlign w:val="top"/>
          </w:tcPr>
          <w:p w14:paraId="64B460D6">
            <w:pPr>
              <w:spacing w:before="120" w:after="120" w:line="288" w:lineRule="auto"/>
              <w:ind w:left="0"/>
              <w:jc w:val="left"/>
              <w:rPr>
                <w:rFonts w:hint="eastAsia" w:ascii="仿宋" w:hAnsi="仿宋" w:eastAsia="仿宋" w:cs="仿宋"/>
              </w:rPr>
            </w:pPr>
            <w:r>
              <w:rPr>
                <w:rFonts w:hint="eastAsia" w:ascii="仿宋" w:hAnsi="仿宋" w:eastAsia="仿宋" w:cs="仿宋"/>
                <w:sz w:val="22"/>
              </w:rPr>
              <w:t>配送规范</w:t>
            </w:r>
          </w:p>
        </w:tc>
        <w:tc>
          <w:tcPr>
            <w:tcW w:w="3997" w:type="dxa"/>
            <w:noWrap w:val="0"/>
            <w:tcMar>
              <w:top w:w="60" w:type="dxa"/>
              <w:left w:w="120" w:type="dxa"/>
              <w:bottom w:w="30" w:type="dxa"/>
              <w:right w:w="120" w:type="dxa"/>
            </w:tcMar>
            <w:vAlign w:val="top"/>
          </w:tcPr>
          <w:p w14:paraId="17F10812">
            <w:pPr>
              <w:spacing w:before="120" w:after="120" w:line="288" w:lineRule="auto"/>
              <w:ind w:left="0"/>
              <w:jc w:val="left"/>
              <w:rPr>
                <w:rFonts w:hint="eastAsia" w:ascii="仿宋" w:hAnsi="仿宋" w:eastAsia="仿宋" w:cs="仿宋"/>
              </w:rPr>
            </w:pPr>
            <w:r>
              <w:rPr>
                <w:rFonts w:hint="eastAsia" w:ascii="仿宋" w:hAnsi="仿宋" w:eastAsia="仿宋" w:cs="仿宋"/>
                <w:sz w:val="22"/>
              </w:rPr>
              <w:t>1. 配送车辆整洁，器材摆放有序，无乱堆乱放导致的损坏，违规1次扣5分；2. 严格遵守交通规则，无违章行驶，违章1次扣10分，发生交通事故（我方主责）扣20分；3. 配送单据填写规范、完整，无漏填、错填，每处错误扣3分。</w:t>
            </w:r>
          </w:p>
        </w:tc>
        <w:tc>
          <w:tcPr>
            <w:tcW w:w="820" w:type="dxa"/>
            <w:noWrap w:val="0"/>
            <w:tcMar>
              <w:top w:w="60" w:type="dxa"/>
              <w:left w:w="120" w:type="dxa"/>
              <w:bottom w:w="30" w:type="dxa"/>
              <w:right w:w="120" w:type="dxa"/>
            </w:tcMar>
            <w:vAlign w:val="top"/>
          </w:tcPr>
          <w:p w14:paraId="7DE425D5">
            <w:pPr>
              <w:spacing w:before="120" w:after="120" w:line="288" w:lineRule="auto"/>
              <w:ind w:left="0"/>
              <w:jc w:val="left"/>
              <w:rPr>
                <w:rFonts w:hint="eastAsia" w:ascii="仿宋" w:hAnsi="仿宋" w:eastAsia="仿宋" w:cs="仿宋"/>
              </w:rPr>
            </w:pPr>
            <w:r>
              <w:rPr>
                <w:rFonts w:hint="eastAsia" w:ascii="仿宋" w:hAnsi="仿宋" w:eastAsia="仿宋" w:cs="仿宋"/>
                <w:sz w:val="22"/>
              </w:rPr>
              <w:t>15%</w:t>
            </w:r>
          </w:p>
        </w:tc>
        <w:tc>
          <w:tcPr>
            <w:tcW w:w="803" w:type="dxa"/>
            <w:noWrap w:val="0"/>
            <w:tcMar>
              <w:top w:w="60" w:type="dxa"/>
              <w:left w:w="120" w:type="dxa"/>
              <w:bottom w:w="30" w:type="dxa"/>
              <w:right w:w="120" w:type="dxa"/>
            </w:tcMar>
            <w:vAlign w:val="top"/>
          </w:tcPr>
          <w:p w14:paraId="32DF646B">
            <w:pPr>
              <w:spacing w:before="120" w:after="120" w:line="288" w:lineRule="auto"/>
              <w:ind w:left="0"/>
              <w:jc w:val="left"/>
              <w:rPr>
                <w:rFonts w:hint="eastAsia" w:ascii="仿宋" w:hAnsi="仿宋" w:eastAsia="仿宋" w:cs="仿宋"/>
              </w:rPr>
            </w:pPr>
          </w:p>
        </w:tc>
        <w:tc>
          <w:tcPr>
            <w:tcW w:w="942" w:type="dxa"/>
            <w:noWrap w:val="0"/>
            <w:tcMar>
              <w:top w:w="60" w:type="dxa"/>
              <w:left w:w="120" w:type="dxa"/>
              <w:bottom w:w="30" w:type="dxa"/>
              <w:right w:w="120" w:type="dxa"/>
            </w:tcMar>
            <w:vAlign w:val="top"/>
          </w:tcPr>
          <w:p w14:paraId="724B0BFE">
            <w:pPr>
              <w:spacing w:before="120" w:after="120" w:line="288" w:lineRule="auto"/>
              <w:ind w:left="0"/>
              <w:jc w:val="left"/>
              <w:rPr>
                <w:rFonts w:hint="eastAsia" w:ascii="仿宋" w:hAnsi="仿宋" w:eastAsia="仿宋" w:cs="仿宋"/>
              </w:rPr>
            </w:pPr>
          </w:p>
        </w:tc>
      </w:tr>
      <w:tr w14:paraId="2690FF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844" w:type="dxa"/>
            <w:noWrap w:val="0"/>
            <w:tcMar>
              <w:top w:w="60" w:type="dxa"/>
              <w:left w:w="120" w:type="dxa"/>
              <w:bottom w:w="30" w:type="dxa"/>
              <w:right w:w="120" w:type="dxa"/>
            </w:tcMar>
            <w:vAlign w:val="top"/>
          </w:tcPr>
          <w:p w14:paraId="3585C824">
            <w:pPr>
              <w:spacing w:before="120" w:after="120" w:line="288" w:lineRule="auto"/>
              <w:ind w:left="0"/>
              <w:jc w:val="left"/>
              <w:rPr>
                <w:rFonts w:hint="eastAsia" w:ascii="仿宋" w:hAnsi="仿宋" w:eastAsia="仿宋" w:cs="仿宋"/>
              </w:rPr>
            </w:pPr>
            <w:r>
              <w:rPr>
                <w:rFonts w:hint="eastAsia" w:ascii="仿宋" w:hAnsi="仿宋" w:eastAsia="仿宋" w:cs="仿宋"/>
                <w:sz w:val="22"/>
              </w:rPr>
              <w:t>5</w:t>
            </w:r>
          </w:p>
        </w:tc>
        <w:tc>
          <w:tcPr>
            <w:tcW w:w="874" w:type="dxa"/>
            <w:noWrap w:val="0"/>
            <w:tcMar>
              <w:top w:w="60" w:type="dxa"/>
              <w:left w:w="120" w:type="dxa"/>
              <w:bottom w:w="30" w:type="dxa"/>
              <w:right w:w="120" w:type="dxa"/>
            </w:tcMar>
            <w:vAlign w:val="top"/>
          </w:tcPr>
          <w:p w14:paraId="1950976B">
            <w:pPr>
              <w:spacing w:before="120" w:after="120" w:line="288" w:lineRule="auto"/>
              <w:ind w:left="0"/>
              <w:jc w:val="left"/>
              <w:rPr>
                <w:rFonts w:hint="eastAsia" w:ascii="仿宋" w:hAnsi="仿宋" w:eastAsia="仿宋" w:cs="仿宋"/>
              </w:rPr>
            </w:pPr>
            <w:r>
              <w:rPr>
                <w:rFonts w:hint="eastAsia" w:ascii="仿宋" w:hAnsi="仿宋" w:eastAsia="仿宋" w:cs="仿宋"/>
                <w:sz w:val="22"/>
              </w:rPr>
              <w:t>应急处理</w:t>
            </w:r>
          </w:p>
        </w:tc>
        <w:tc>
          <w:tcPr>
            <w:tcW w:w="3997" w:type="dxa"/>
            <w:noWrap w:val="0"/>
            <w:tcMar>
              <w:top w:w="60" w:type="dxa"/>
              <w:left w:w="120" w:type="dxa"/>
              <w:bottom w:w="30" w:type="dxa"/>
              <w:right w:w="120" w:type="dxa"/>
            </w:tcMar>
            <w:vAlign w:val="top"/>
          </w:tcPr>
          <w:p w14:paraId="63D55846">
            <w:pPr>
              <w:spacing w:before="120" w:after="120" w:line="288" w:lineRule="auto"/>
              <w:ind w:left="0"/>
              <w:jc w:val="left"/>
              <w:rPr>
                <w:rFonts w:hint="eastAsia" w:ascii="仿宋" w:hAnsi="仿宋" w:eastAsia="仿宋" w:cs="仿宋"/>
              </w:rPr>
            </w:pPr>
            <w:r>
              <w:rPr>
                <w:rFonts w:hint="eastAsia" w:ascii="仿宋" w:hAnsi="仿宋" w:eastAsia="仿宋" w:cs="仿宋"/>
                <w:sz w:val="22"/>
              </w:rPr>
              <w:t>1. 配送中遇到突发情况（如器材损坏、道路中断），能及时采取合理措施解决，未妥善处理扣10分；2. 收货方对器材有异议时，能积极配合核实、处理，推诿扯皮扣15分。</w:t>
            </w:r>
          </w:p>
        </w:tc>
        <w:tc>
          <w:tcPr>
            <w:tcW w:w="820" w:type="dxa"/>
            <w:noWrap w:val="0"/>
            <w:tcMar>
              <w:top w:w="60" w:type="dxa"/>
              <w:left w:w="120" w:type="dxa"/>
              <w:bottom w:w="30" w:type="dxa"/>
              <w:right w:w="120" w:type="dxa"/>
            </w:tcMar>
            <w:vAlign w:val="top"/>
          </w:tcPr>
          <w:p w14:paraId="77A62D65">
            <w:pPr>
              <w:spacing w:before="120" w:after="120" w:line="288" w:lineRule="auto"/>
              <w:ind w:left="0"/>
              <w:jc w:val="left"/>
              <w:rPr>
                <w:rFonts w:hint="eastAsia" w:ascii="仿宋" w:hAnsi="仿宋" w:eastAsia="仿宋" w:cs="仿宋"/>
              </w:rPr>
            </w:pPr>
            <w:r>
              <w:rPr>
                <w:rFonts w:hint="eastAsia" w:ascii="仿宋" w:hAnsi="仿宋" w:eastAsia="仿宋" w:cs="仿宋"/>
                <w:sz w:val="22"/>
              </w:rPr>
              <w:t>10%</w:t>
            </w:r>
          </w:p>
        </w:tc>
        <w:tc>
          <w:tcPr>
            <w:tcW w:w="803" w:type="dxa"/>
            <w:noWrap w:val="0"/>
            <w:tcMar>
              <w:top w:w="60" w:type="dxa"/>
              <w:left w:w="120" w:type="dxa"/>
              <w:bottom w:w="30" w:type="dxa"/>
              <w:right w:w="120" w:type="dxa"/>
            </w:tcMar>
            <w:vAlign w:val="top"/>
          </w:tcPr>
          <w:p w14:paraId="7BBB464A">
            <w:pPr>
              <w:spacing w:before="120" w:after="120" w:line="288" w:lineRule="auto"/>
              <w:ind w:left="0"/>
              <w:jc w:val="left"/>
              <w:rPr>
                <w:rFonts w:hint="eastAsia" w:ascii="仿宋" w:hAnsi="仿宋" w:eastAsia="仿宋" w:cs="仿宋"/>
              </w:rPr>
            </w:pPr>
          </w:p>
        </w:tc>
        <w:tc>
          <w:tcPr>
            <w:tcW w:w="942" w:type="dxa"/>
            <w:noWrap w:val="0"/>
            <w:tcMar>
              <w:top w:w="60" w:type="dxa"/>
              <w:left w:w="120" w:type="dxa"/>
              <w:bottom w:w="30" w:type="dxa"/>
              <w:right w:w="120" w:type="dxa"/>
            </w:tcMar>
            <w:vAlign w:val="top"/>
          </w:tcPr>
          <w:p w14:paraId="18342ACC">
            <w:pPr>
              <w:spacing w:before="120" w:after="120" w:line="288" w:lineRule="auto"/>
              <w:ind w:left="0"/>
              <w:jc w:val="left"/>
              <w:rPr>
                <w:rFonts w:hint="eastAsia" w:ascii="仿宋" w:hAnsi="仿宋" w:eastAsia="仿宋" w:cs="仿宋"/>
              </w:rPr>
            </w:pPr>
          </w:p>
        </w:tc>
      </w:tr>
      <w:tr w14:paraId="1F6590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844" w:type="dxa"/>
            <w:noWrap w:val="0"/>
            <w:tcMar>
              <w:top w:w="60" w:type="dxa"/>
              <w:left w:w="120" w:type="dxa"/>
              <w:bottom w:w="30" w:type="dxa"/>
              <w:right w:w="120" w:type="dxa"/>
            </w:tcMar>
            <w:vAlign w:val="top"/>
          </w:tcPr>
          <w:p w14:paraId="2D1E2DF4">
            <w:pPr>
              <w:spacing w:before="120" w:after="120" w:line="288" w:lineRule="auto"/>
              <w:ind w:left="0"/>
              <w:jc w:val="left"/>
              <w:rPr>
                <w:rFonts w:hint="eastAsia" w:ascii="仿宋" w:hAnsi="仿宋" w:eastAsia="仿宋" w:cs="仿宋"/>
              </w:rPr>
            </w:pPr>
            <w:r>
              <w:rPr>
                <w:rFonts w:hint="eastAsia" w:ascii="仿宋" w:hAnsi="仿宋" w:eastAsia="仿宋" w:cs="仿宋"/>
                <w:sz w:val="22"/>
              </w:rPr>
              <w:t>6</w:t>
            </w:r>
          </w:p>
        </w:tc>
        <w:tc>
          <w:tcPr>
            <w:tcW w:w="874" w:type="dxa"/>
            <w:noWrap w:val="0"/>
            <w:tcMar>
              <w:top w:w="60" w:type="dxa"/>
              <w:left w:w="120" w:type="dxa"/>
              <w:bottom w:w="30" w:type="dxa"/>
              <w:right w:w="120" w:type="dxa"/>
            </w:tcMar>
            <w:vAlign w:val="top"/>
          </w:tcPr>
          <w:p w14:paraId="5F990CD5">
            <w:pPr>
              <w:spacing w:before="120" w:after="120" w:line="288" w:lineRule="auto"/>
              <w:ind w:left="0"/>
              <w:jc w:val="left"/>
              <w:rPr>
                <w:rFonts w:hint="eastAsia" w:ascii="仿宋" w:hAnsi="仿宋" w:eastAsia="仿宋" w:cs="仿宋"/>
              </w:rPr>
            </w:pPr>
            <w:r>
              <w:rPr>
                <w:rFonts w:hint="eastAsia" w:ascii="仿宋" w:hAnsi="仿宋" w:eastAsia="仿宋" w:cs="仿宋"/>
                <w:sz w:val="22"/>
              </w:rPr>
              <w:t>加分项</w:t>
            </w:r>
          </w:p>
        </w:tc>
        <w:tc>
          <w:tcPr>
            <w:tcW w:w="3997" w:type="dxa"/>
            <w:noWrap w:val="0"/>
            <w:tcMar>
              <w:top w:w="60" w:type="dxa"/>
              <w:left w:w="120" w:type="dxa"/>
              <w:bottom w:w="30" w:type="dxa"/>
              <w:right w:w="120" w:type="dxa"/>
            </w:tcMar>
            <w:vAlign w:val="top"/>
          </w:tcPr>
          <w:p w14:paraId="2962FDF6">
            <w:pPr>
              <w:spacing w:before="120" w:after="120" w:line="288" w:lineRule="auto"/>
              <w:ind w:left="0"/>
              <w:jc w:val="left"/>
              <w:rPr>
                <w:rFonts w:hint="eastAsia" w:ascii="仿宋" w:hAnsi="仿宋" w:eastAsia="仿宋" w:cs="仿宋"/>
              </w:rPr>
            </w:pPr>
            <w:r>
              <w:rPr>
                <w:rFonts w:hint="eastAsia" w:ascii="仿宋" w:hAnsi="仿宋" w:eastAsia="仿宋" w:cs="仿宋"/>
                <w:sz w:val="22"/>
              </w:rPr>
              <w:t>1. 月度无延迟、无破损、无投诉，加10分；2. 紧急订单提前送达，每次加5分；3. 主动提出配送优化建议并被采纳，每次加5分。</w:t>
            </w:r>
          </w:p>
        </w:tc>
        <w:tc>
          <w:tcPr>
            <w:tcW w:w="820" w:type="dxa"/>
            <w:noWrap w:val="0"/>
            <w:tcMar>
              <w:top w:w="60" w:type="dxa"/>
              <w:left w:w="120" w:type="dxa"/>
              <w:bottom w:w="30" w:type="dxa"/>
              <w:right w:w="120" w:type="dxa"/>
            </w:tcMar>
            <w:vAlign w:val="top"/>
          </w:tcPr>
          <w:p w14:paraId="165B5B38">
            <w:pPr>
              <w:spacing w:before="120" w:after="120" w:line="288" w:lineRule="auto"/>
              <w:ind w:left="0"/>
              <w:jc w:val="left"/>
              <w:rPr>
                <w:rFonts w:hint="eastAsia" w:ascii="仿宋" w:hAnsi="仿宋" w:eastAsia="仿宋" w:cs="仿宋"/>
              </w:rPr>
            </w:pPr>
            <w:r>
              <w:rPr>
                <w:rFonts w:hint="eastAsia" w:ascii="仿宋" w:hAnsi="仿宋" w:eastAsia="仿宋" w:cs="仿宋"/>
                <w:sz w:val="22"/>
              </w:rPr>
              <w:t>5%</w:t>
            </w:r>
          </w:p>
        </w:tc>
        <w:tc>
          <w:tcPr>
            <w:tcW w:w="803" w:type="dxa"/>
            <w:noWrap w:val="0"/>
            <w:tcMar>
              <w:top w:w="60" w:type="dxa"/>
              <w:left w:w="120" w:type="dxa"/>
              <w:bottom w:w="30" w:type="dxa"/>
              <w:right w:w="120" w:type="dxa"/>
            </w:tcMar>
            <w:vAlign w:val="top"/>
          </w:tcPr>
          <w:p w14:paraId="14CB078B">
            <w:pPr>
              <w:spacing w:before="120" w:after="120" w:line="288" w:lineRule="auto"/>
              <w:ind w:left="0"/>
              <w:jc w:val="left"/>
              <w:rPr>
                <w:rFonts w:hint="eastAsia" w:ascii="仿宋" w:hAnsi="仿宋" w:eastAsia="仿宋" w:cs="仿宋"/>
              </w:rPr>
            </w:pPr>
          </w:p>
        </w:tc>
        <w:tc>
          <w:tcPr>
            <w:tcW w:w="942" w:type="dxa"/>
            <w:noWrap w:val="0"/>
            <w:tcMar>
              <w:top w:w="60" w:type="dxa"/>
              <w:left w:w="120" w:type="dxa"/>
              <w:bottom w:w="30" w:type="dxa"/>
              <w:right w:w="120" w:type="dxa"/>
            </w:tcMar>
            <w:vAlign w:val="top"/>
          </w:tcPr>
          <w:p w14:paraId="5440C3A9">
            <w:pPr>
              <w:spacing w:before="120" w:after="120" w:line="288" w:lineRule="auto"/>
              <w:ind w:left="0"/>
              <w:jc w:val="left"/>
              <w:rPr>
                <w:rFonts w:hint="eastAsia" w:ascii="仿宋" w:hAnsi="仿宋" w:eastAsia="仿宋" w:cs="仿宋"/>
              </w:rPr>
            </w:pPr>
          </w:p>
        </w:tc>
      </w:tr>
      <w:tr w14:paraId="302FDB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5715" w:type="dxa"/>
            <w:gridSpan w:val="3"/>
            <w:noWrap w:val="0"/>
            <w:tcMar>
              <w:top w:w="60" w:type="dxa"/>
              <w:left w:w="120" w:type="dxa"/>
              <w:bottom w:w="30" w:type="dxa"/>
              <w:right w:w="120" w:type="dxa"/>
            </w:tcMar>
            <w:vAlign w:val="top"/>
          </w:tcPr>
          <w:p w14:paraId="216B902B">
            <w:pPr>
              <w:spacing w:before="120" w:after="120" w:line="288" w:lineRule="auto"/>
              <w:ind w:left="0"/>
              <w:jc w:val="left"/>
              <w:rPr>
                <w:rFonts w:hint="eastAsia" w:ascii="仿宋" w:hAnsi="仿宋" w:eastAsia="仿宋" w:cs="仿宋"/>
              </w:rPr>
            </w:pPr>
            <w:r>
              <w:rPr>
                <w:rFonts w:hint="eastAsia" w:ascii="仿宋" w:hAnsi="仿宋" w:eastAsia="仿宋" w:cs="仿宋"/>
                <w:sz w:val="22"/>
              </w:rPr>
              <w:t>合计</w:t>
            </w:r>
          </w:p>
        </w:tc>
        <w:tc>
          <w:tcPr>
            <w:tcW w:w="820" w:type="dxa"/>
            <w:noWrap w:val="0"/>
            <w:tcMar>
              <w:top w:w="60" w:type="dxa"/>
              <w:left w:w="120" w:type="dxa"/>
              <w:bottom w:w="30" w:type="dxa"/>
              <w:right w:w="120" w:type="dxa"/>
            </w:tcMar>
            <w:vAlign w:val="top"/>
          </w:tcPr>
          <w:p w14:paraId="3B6109C8">
            <w:pPr>
              <w:spacing w:before="120" w:after="120" w:line="288" w:lineRule="auto"/>
              <w:ind w:left="0"/>
              <w:jc w:val="left"/>
              <w:rPr>
                <w:rFonts w:hint="eastAsia" w:ascii="仿宋" w:hAnsi="仿宋" w:eastAsia="仿宋" w:cs="仿宋"/>
              </w:rPr>
            </w:pPr>
            <w:r>
              <w:rPr>
                <w:rFonts w:hint="eastAsia" w:ascii="仿宋" w:hAnsi="仿宋" w:eastAsia="仿宋" w:cs="仿宋"/>
                <w:sz w:val="22"/>
              </w:rPr>
              <w:t>100%</w:t>
            </w:r>
          </w:p>
        </w:tc>
        <w:tc>
          <w:tcPr>
            <w:tcW w:w="803" w:type="dxa"/>
            <w:noWrap w:val="0"/>
            <w:tcMar>
              <w:top w:w="60" w:type="dxa"/>
              <w:left w:w="120" w:type="dxa"/>
              <w:bottom w:w="30" w:type="dxa"/>
              <w:right w:w="120" w:type="dxa"/>
            </w:tcMar>
            <w:vAlign w:val="top"/>
          </w:tcPr>
          <w:p w14:paraId="6BEED37C">
            <w:pPr>
              <w:spacing w:before="120" w:after="120" w:line="288" w:lineRule="auto"/>
              <w:ind w:left="0"/>
              <w:jc w:val="left"/>
              <w:rPr>
                <w:rFonts w:hint="eastAsia" w:ascii="仿宋" w:hAnsi="仿宋" w:eastAsia="仿宋" w:cs="仿宋"/>
              </w:rPr>
            </w:pPr>
          </w:p>
        </w:tc>
        <w:tc>
          <w:tcPr>
            <w:tcW w:w="942" w:type="dxa"/>
            <w:noWrap w:val="0"/>
            <w:tcMar>
              <w:top w:w="60" w:type="dxa"/>
              <w:left w:w="120" w:type="dxa"/>
              <w:bottom w:w="30" w:type="dxa"/>
              <w:right w:w="120" w:type="dxa"/>
            </w:tcMar>
            <w:vAlign w:val="top"/>
          </w:tcPr>
          <w:p w14:paraId="1EE409A2">
            <w:pPr>
              <w:spacing w:before="120" w:after="120" w:line="288" w:lineRule="auto"/>
              <w:ind w:left="0"/>
              <w:jc w:val="left"/>
              <w:rPr>
                <w:rFonts w:hint="eastAsia" w:ascii="仿宋" w:hAnsi="仿宋" w:eastAsia="仿宋" w:cs="仿宋"/>
              </w:rPr>
            </w:pPr>
          </w:p>
        </w:tc>
      </w:tr>
    </w:tbl>
    <w:p w14:paraId="398330D1">
      <w:pPr>
        <w:keepNext w:val="0"/>
        <w:keepLines w:val="0"/>
        <w:pageBreakBefore w:val="0"/>
        <w:widowControl/>
        <w:kinsoku/>
        <w:wordWrap/>
        <w:overflowPunct/>
        <w:topLinePunct w:val="0"/>
        <w:autoSpaceDE/>
        <w:autoSpaceDN/>
        <w:bidi w:val="0"/>
        <w:adjustRightInd/>
        <w:snapToGrid/>
        <w:spacing w:before="313" w:beforeLines="100" w:after="0" w:line="360" w:lineRule="auto"/>
        <w:ind w:left="0"/>
        <w:jc w:val="left"/>
        <w:textAlignment w:val="auto"/>
        <w:rPr>
          <w:rFonts w:hint="eastAsia" w:ascii="仿宋" w:hAnsi="仿宋" w:eastAsia="仿宋" w:cs="仿宋"/>
          <w:sz w:val="24"/>
          <w:szCs w:val="24"/>
          <w:lang w:val="en-US" w:eastAsia="zh-CN"/>
        </w:rPr>
      </w:pPr>
      <w:r>
        <w:rPr>
          <w:rFonts w:hint="eastAsia" w:ascii="仿宋" w:hAnsi="仿宋" w:eastAsia="仿宋" w:cs="仿宋"/>
          <w:sz w:val="24"/>
          <w:szCs w:val="24"/>
        </w:rPr>
        <w:t>考核等级说明：</w:t>
      </w:r>
      <w:r>
        <w:rPr>
          <w:rFonts w:hint="eastAsia" w:ascii="仿宋" w:hAnsi="仿宋" w:eastAsia="仿宋" w:cs="仿宋"/>
          <w:sz w:val="24"/>
          <w:szCs w:val="24"/>
          <w:lang w:val="en-US" w:eastAsia="zh-CN"/>
        </w:rPr>
        <w:t>1.每半年考核一次，70分以下（</w:t>
      </w:r>
      <w:r>
        <w:rPr>
          <w:rFonts w:hint="eastAsia" w:ascii="仿宋" w:hAnsi="仿宋" w:eastAsia="仿宋" w:cs="仿宋"/>
          <w:sz w:val="24"/>
          <w:szCs w:val="24"/>
        </w:rPr>
        <w:t>不合格</w:t>
      </w:r>
      <w:r>
        <w:rPr>
          <w:rFonts w:hint="eastAsia" w:ascii="仿宋" w:hAnsi="仿宋" w:eastAsia="仿宋" w:cs="仿宋"/>
          <w:sz w:val="24"/>
          <w:szCs w:val="24"/>
          <w:lang w:val="en-US" w:eastAsia="zh-CN"/>
        </w:rPr>
        <w:t>）</w:t>
      </w:r>
      <w:r>
        <w:rPr>
          <w:rFonts w:hint="eastAsia" w:ascii="仿宋" w:hAnsi="仿宋" w:eastAsia="仿宋" w:cs="仿宋"/>
          <w:kern w:val="0"/>
          <w:sz w:val="24"/>
          <w:szCs w:val="24"/>
          <w:lang w:val="en-US" w:eastAsia="zh-CN" w:bidi="ar"/>
        </w:rPr>
        <w:t>每次处罚500元。</w:t>
      </w:r>
    </w:p>
    <w:p w14:paraId="4FB7A827">
      <w:pPr>
        <w:spacing w:before="120" w:after="120" w:line="360" w:lineRule="auto"/>
        <w:ind w:left="0"/>
        <w:jc w:val="left"/>
        <w:rPr>
          <w:rFonts w:hint="eastAsia" w:ascii="仿宋" w:hAnsi="仿宋" w:eastAsia="仿宋" w:cs="仿宋"/>
          <w:sz w:val="24"/>
          <w:szCs w:val="24"/>
        </w:rPr>
      </w:pPr>
      <w:r>
        <w:rPr>
          <w:rFonts w:hint="eastAsia" w:ascii="仿宋" w:hAnsi="仿宋" w:eastAsia="仿宋" w:cs="仿宋"/>
          <w:sz w:val="24"/>
          <w:szCs w:val="24"/>
        </w:rPr>
        <w:t>90分及以上（优秀）、80-89分（良好）、70-79分（合格）、70分以下（不合格）</w:t>
      </w:r>
    </w:p>
    <w:p w14:paraId="489BBA6E">
      <w:pPr>
        <w:spacing w:before="120" w:after="120" w:line="360" w:lineRule="auto"/>
        <w:ind w:left="0"/>
        <w:jc w:val="left"/>
        <w:rPr>
          <w:rFonts w:hint="eastAsia" w:ascii="仿宋" w:hAnsi="仿宋" w:eastAsia="仿宋" w:cs="仿宋"/>
          <w:sz w:val="24"/>
          <w:szCs w:val="24"/>
        </w:rPr>
      </w:pPr>
      <w:r>
        <w:rPr>
          <w:rFonts w:hint="eastAsia" w:ascii="仿宋" w:hAnsi="仿宋" w:eastAsia="仿宋" w:cs="仿宋"/>
          <w:sz w:val="24"/>
          <w:szCs w:val="24"/>
        </w:rPr>
        <w:t>考核总结：________________________</w:t>
      </w:r>
    </w:p>
    <w:p w14:paraId="49B705EE">
      <w:pPr>
        <w:pStyle w:val="10"/>
        <w:spacing w:line="360" w:lineRule="auto"/>
        <w:rPr>
          <w:rFonts w:hint="eastAsia" w:ascii="仿宋" w:hAnsi="仿宋" w:eastAsia="仿宋" w:cs="仿宋"/>
          <w:sz w:val="24"/>
          <w:szCs w:val="24"/>
        </w:rPr>
      </w:pPr>
      <w:r>
        <w:rPr>
          <w:rFonts w:hint="eastAsia" w:ascii="仿宋" w:hAnsi="仿宋" w:eastAsia="仿宋" w:cs="仿宋"/>
          <w:sz w:val="24"/>
          <w:szCs w:val="24"/>
        </w:rPr>
        <w:t xml:space="preserve">配送人员/团队签字：_____ </w:t>
      </w:r>
    </w:p>
    <w:p w14:paraId="4B1C0AE6">
      <w:pPr>
        <w:pStyle w:val="10"/>
        <w:spacing w:line="360" w:lineRule="auto"/>
        <w:rPr>
          <w:rFonts w:hint="eastAsia" w:ascii="仿宋" w:hAnsi="仿宋" w:eastAsia="仿宋" w:cs="仿宋"/>
          <w:sz w:val="24"/>
          <w:szCs w:val="24"/>
        </w:rPr>
      </w:pPr>
      <w:r>
        <w:rPr>
          <w:rFonts w:hint="eastAsia" w:ascii="仿宋" w:hAnsi="仿宋" w:eastAsia="仿宋" w:cs="仿宋"/>
          <w:sz w:val="24"/>
          <w:szCs w:val="24"/>
        </w:rPr>
        <w:t>考核人签字：________</w:t>
      </w:r>
    </w:p>
    <w:p w14:paraId="301E9310">
      <w:pPr>
        <w:pStyle w:val="10"/>
        <w:spacing w:line="360" w:lineRule="auto"/>
        <w:rPr>
          <w:rFonts w:hint="eastAsia" w:ascii="仿宋" w:hAnsi="仿宋" w:eastAsia="仿宋" w:cs="仿宋"/>
          <w:sz w:val="24"/>
          <w:szCs w:val="24"/>
        </w:rPr>
      </w:pPr>
      <w:r>
        <w:rPr>
          <w:rFonts w:hint="eastAsia" w:ascii="仿宋" w:hAnsi="仿宋" w:eastAsia="仿宋" w:cs="仿宋"/>
          <w:sz w:val="24"/>
          <w:szCs w:val="24"/>
        </w:rPr>
        <w:t>签字日期：____年____月____日</w:t>
      </w:r>
    </w:p>
    <w:p w14:paraId="2310D161">
      <w:pPr>
        <w:pStyle w:val="10"/>
      </w:pPr>
    </w:p>
    <w:p w14:paraId="20676958">
      <w:pPr>
        <w:pStyle w:val="10"/>
      </w:pPr>
    </w:p>
    <w:p w14:paraId="42B79046">
      <w:pPr>
        <w:widowControl/>
        <w:jc w:val="left"/>
        <w:rPr>
          <w:sz w:val="18"/>
        </w:rPr>
      </w:pPr>
    </w:p>
    <w:p w14:paraId="480D9F69">
      <w:pPr>
        <w:widowControl/>
        <w:adjustRightInd w:val="0"/>
        <w:snapToGrid w:val="0"/>
        <w:spacing w:before="156" w:beforeLines="50" w:after="156" w:afterLines="50" w:line="580" w:lineRule="exact"/>
        <w:jc w:val="left"/>
        <w:outlineLvl w:val="0"/>
        <w:rPr>
          <w:rFonts w:hint="eastAsia" w:ascii="仿宋" w:hAnsi="仿宋" w:eastAsia="仿宋" w:cs="仿宋"/>
          <w:b/>
          <w:bCs/>
          <w:sz w:val="28"/>
          <w:szCs w:val="32"/>
        </w:rPr>
      </w:pPr>
      <w:r>
        <w:rPr>
          <w:rFonts w:hint="eastAsia" w:ascii="仿宋" w:hAnsi="仿宋" w:eastAsia="仿宋" w:cs="仿宋"/>
          <w:b/>
          <w:bCs/>
          <w:sz w:val="28"/>
          <w:szCs w:val="32"/>
        </w:rPr>
        <w:t>附件2：评审办法</w:t>
      </w: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8"/>
        <w:gridCol w:w="1500"/>
        <w:gridCol w:w="744"/>
        <w:gridCol w:w="4824"/>
        <w:gridCol w:w="786"/>
      </w:tblGrid>
      <w:tr w14:paraId="082059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8" w:type="dxa"/>
            <w:noWrap w:val="0"/>
            <w:vAlign w:val="center"/>
          </w:tcPr>
          <w:p w14:paraId="702703E0">
            <w:pPr>
              <w:keepNext w:val="0"/>
              <w:keepLines w:val="0"/>
              <w:pageBreakBefore w:val="0"/>
              <w:widowControl w:val="0"/>
              <w:kinsoku/>
              <w:wordWrap w:val="0"/>
              <w:overflowPunct w:val="0"/>
              <w:topLinePunct/>
              <w:autoSpaceDE/>
              <w:autoSpaceDN/>
              <w:bidi w:val="0"/>
              <w:adjustRightInd/>
              <w:snapToGrid/>
              <w:spacing w:line="500" w:lineRule="atLeast"/>
              <w:ind w:right="0" w:rightChars="0" w:firstLine="0" w:firstLineChars="0"/>
              <w:jc w:val="center"/>
              <w:textAlignment w:val="center"/>
              <w:rPr>
                <w:rFonts w:hint="eastAsia" w:ascii="仿宋" w:hAnsi="仿宋" w:eastAsia="仿宋" w:cs="仿宋"/>
                <w:color w:val="000000"/>
                <w:sz w:val="24"/>
                <w:szCs w:val="24"/>
                <w:highlight w:val="none"/>
                <w:vertAlign w:val="baseline"/>
                <w:lang w:val="en-US" w:eastAsia="zh-CN"/>
              </w:rPr>
            </w:pPr>
            <w:r>
              <w:rPr>
                <w:rFonts w:hint="eastAsia" w:ascii="仿宋" w:hAnsi="仿宋" w:eastAsia="仿宋" w:cs="仿宋"/>
                <w:b/>
                <w:color w:val="auto"/>
                <w:sz w:val="24"/>
                <w:szCs w:val="24"/>
                <w:highlight w:val="none"/>
              </w:rPr>
              <w:t>序号</w:t>
            </w:r>
          </w:p>
        </w:tc>
        <w:tc>
          <w:tcPr>
            <w:tcW w:w="1500" w:type="dxa"/>
            <w:noWrap w:val="0"/>
            <w:vAlign w:val="center"/>
          </w:tcPr>
          <w:p w14:paraId="7F0FC2F1">
            <w:pPr>
              <w:keepNext w:val="0"/>
              <w:keepLines w:val="0"/>
              <w:pageBreakBefore w:val="0"/>
              <w:widowControl w:val="0"/>
              <w:kinsoku/>
              <w:wordWrap w:val="0"/>
              <w:overflowPunct w:val="0"/>
              <w:topLinePunct/>
              <w:autoSpaceDE/>
              <w:autoSpaceDN/>
              <w:bidi w:val="0"/>
              <w:adjustRightInd/>
              <w:snapToGrid/>
              <w:spacing w:line="500" w:lineRule="atLeast"/>
              <w:ind w:right="0" w:rightChars="0" w:firstLine="0" w:firstLineChars="0"/>
              <w:jc w:val="center"/>
              <w:textAlignment w:val="center"/>
              <w:rPr>
                <w:rFonts w:hint="eastAsia" w:ascii="仿宋" w:hAnsi="仿宋" w:eastAsia="仿宋" w:cs="仿宋"/>
                <w:color w:val="000000"/>
                <w:sz w:val="24"/>
                <w:szCs w:val="24"/>
                <w:highlight w:val="none"/>
                <w:vertAlign w:val="baseline"/>
                <w:lang w:val="en-US" w:eastAsia="zh-CN"/>
              </w:rPr>
            </w:pPr>
            <w:r>
              <w:rPr>
                <w:rFonts w:hint="eastAsia" w:ascii="仿宋" w:hAnsi="仿宋" w:eastAsia="仿宋" w:cs="仿宋"/>
                <w:b/>
                <w:color w:val="auto"/>
                <w:sz w:val="24"/>
                <w:szCs w:val="24"/>
                <w:highlight w:val="none"/>
              </w:rPr>
              <w:t>评分因素</w:t>
            </w:r>
          </w:p>
        </w:tc>
        <w:tc>
          <w:tcPr>
            <w:tcW w:w="744" w:type="dxa"/>
            <w:noWrap w:val="0"/>
            <w:vAlign w:val="center"/>
          </w:tcPr>
          <w:p w14:paraId="35ECA665">
            <w:pPr>
              <w:keepNext w:val="0"/>
              <w:keepLines w:val="0"/>
              <w:pageBreakBefore w:val="0"/>
              <w:widowControl w:val="0"/>
              <w:kinsoku/>
              <w:wordWrap w:val="0"/>
              <w:overflowPunct w:val="0"/>
              <w:topLinePunct/>
              <w:autoSpaceDE/>
              <w:autoSpaceDN/>
              <w:bidi w:val="0"/>
              <w:adjustRightInd/>
              <w:snapToGrid/>
              <w:spacing w:line="500" w:lineRule="atLeast"/>
              <w:ind w:right="0" w:rightChars="0" w:firstLine="0" w:firstLineChars="0"/>
              <w:jc w:val="center"/>
              <w:textAlignment w:val="center"/>
              <w:rPr>
                <w:rFonts w:hint="eastAsia" w:ascii="仿宋" w:hAnsi="仿宋" w:eastAsia="仿宋" w:cs="仿宋"/>
                <w:color w:val="000000"/>
                <w:sz w:val="24"/>
                <w:szCs w:val="24"/>
                <w:highlight w:val="none"/>
                <w:vertAlign w:val="baseline"/>
                <w:lang w:val="en-US" w:eastAsia="zh-CN"/>
              </w:rPr>
            </w:pPr>
            <w:r>
              <w:rPr>
                <w:rFonts w:hint="eastAsia" w:ascii="仿宋" w:hAnsi="仿宋" w:eastAsia="仿宋" w:cs="仿宋"/>
                <w:b/>
                <w:color w:val="auto"/>
                <w:sz w:val="24"/>
                <w:szCs w:val="24"/>
                <w:highlight w:val="none"/>
              </w:rPr>
              <w:t>分值</w:t>
            </w:r>
          </w:p>
        </w:tc>
        <w:tc>
          <w:tcPr>
            <w:tcW w:w="4824" w:type="dxa"/>
            <w:noWrap w:val="0"/>
            <w:vAlign w:val="center"/>
          </w:tcPr>
          <w:p w14:paraId="02B99ACD">
            <w:pPr>
              <w:keepNext w:val="0"/>
              <w:keepLines w:val="0"/>
              <w:pageBreakBefore w:val="0"/>
              <w:widowControl w:val="0"/>
              <w:kinsoku/>
              <w:wordWrap w:val="0"/>
              <w:overflowPunct w:val="0"/>
              <w:topLinePunct/>
              <w:autoSpaceDE/>
              <w:autoSpaceDN/>
              <w:bidi w:val="0"/>
              <w:adjustRightInd/>
              <w:snapToGrid/>
              <w:spacing w:line="500" w:lineRule="atLeast"/>
              <w:ind w:right="0" w:rightChars="0" w:firstLine="0" w:firstLineChars="0"/>
              <w:jc w:val="center"/>
              <w:textAlignment w:val="center"/>
              <w:rPr>
                <w:rFonts w:hint="eastAsia" w:ascii="仿宋" w:hAnsi="仿宋" w:eastAsia="仿宋" w:cs="仿宋"/>
                <w:b/>
                <w:color w:val="auto"/>
                <w:sz w:val="24"/>
                <w:szCs w:val="24"/>
                <w:highlight w:val="none"/>
                <w:lang w:val="en-US" w:eastAsia="zh-CN"/>
              </w:rPr>
            </w:pPr>
            <w:r>
              <w:rPr>
                <w:rFonts w:hint="eastAsia" w:ascii="仿宋" w:hAnsi="仿宋" w:eastAsia="仿宋" w:cs="仿宋"/>
                <w:b/>
                <w:color w:val="auto"/>
                <w:sz w:val="24"/>
                <w:szCs w:val="24"/>
                <w:highlight w:val="none"/>
              </w:rPr>
              <w:t>评分标准</w:t>
            </w:r>
          </w:p>
        </w:tc>
        <w:tc>
          <w:tcPr>
            <w:tcW w:w="786" w:type="dxa"/>
            <w:noWrap w:val="0"/>
            <w:vAlign w:val="center"/>
          </w:tcPr>
          <w:p w14:paraId="03A590B3">
            <w:pPr>
              <w:keepNext w:val="0"/>
              <w:keepLines w:val="0"/>
              <w:pageBreakBefore w:val="0"/>
              <w:widowControl w:val="0"/>
              <w:kinsoku/>
              <w:wordWrap w:val="0"/>
              <w:overflowPunct w:val="0"/>
              <w:topLinePunct/>
              <w:autoSpaceDE/>
              <w:autoSpaceDN/>
              <w:bidi w:val="0"/>
              <w:adjustRightInd/>
              <w:snapToGrid/>
              <w:spacing w:line="500" w:lineRule="atLeast"/>
              <w:ind w:right="0" w:rightChars="0" w:firstLine="0" w:firstLineChars="0"/>
              <w:jc w:val="center"/>
              <w:textAlignment w:val="center"/>
              <w:rPr>
                <w:rFonts w:hint="eastAsia" w:ascii="仿宋" w:hAnsi="仿宋" w:eastAsia="仿宋" w:cs="仿宋"/>
                <w:b/>
                <w:color w:val="auto"/>
                <w:sz w:val="24"/>
                <w:szCs w:val="24"/>
                <w:highlight w:val="none"/>
                <w:lang w:val="en-US" w:eastAsia="zh-CN"/>
              </w:rPr>
            </w:pPr>
            <w:r>
              <w:rPr>
                <w:rFonts w:hint="eastAsia" w:ascii="仿宋" w:hAnsi="仿宋" w:eastAsia="仿宋" w:cs="仿宋"/>
                <w:b/>
                <w:color w:val="auto"/>
                <w:sz w:val="24"/>
                <w:szCs w:val="24"/>
                <w:highlight w:val="none"/>
              </w:rPr>
              <w:t>说明</w:t>
            </w:r>
          </w:p>
        </w:tc>
      </w:tr>
      <w:tr w14:paraId="1C80E6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8" w:type="dxa"/>
            <w:vMerge w:val="restart"/>
            <w:noWrap w:val="0"/>
            <w:vAlign w:val="center"/>
          </w:tcPr>
          <w:p w14:paraId="2487EB99">
            <w:pPr>
              <w:keepNext w:val="0"/>
              <w:keepLines w:val="0"/>
              <w:pageBreakBefore w:val="0"/>
              <w:widowControl w:val="0"/>
              <w:kinsoku/>
              <w:wordWrap w:val="0"/>
              <w:overflowPunct w:val="0"/>
              <w:topLinePunct/>
              <w:autoSpaceDE/>
              <w:autoSpaceDN/>
              <w:bidi w:val="0"/>
              <w:adjustRightInd/>
              <w:snapToGrid/>
              <w:spacing w:line="500" w:lineRule="atLeast"/>
              <w:ind w:right="0" w:rightChars="0" w:firstLine="0" w:firstLineChars="0"/>
              <w:jc w:val="center"/>
              <w:textAlignment w:val="center"/>
              <w:rPr>
                <w:rFonts w:hint="eastAsia" w:ascii="仿宋" w:hAnsi="仿宋" w:eastAsia="仿宋" w:cs="仿宋"/>
                <w:b/>
                <w:color w:val="auto"/>
                <w:sz w:val="24"/>
                <w:szCs w:val="24"/>
                <w:highlight w:val="none"/>
                <w:lang w:val="en-US" w:eastAsia="zh-CN"/>
              </w:rPr>
            </w:pPr>
            <w:r>
              <w:rPr>
                <w:rFonts w:hint="eastAsia" w:ascii="仿宋" w:hAnsi="仿宋" w:eastAsia="仿宋" w:cs="仿宋"/>
                <w:b/>
                <w:color w:val="auto"/>
                <w:sz w:val="24"/>
                <w:szCs w:val="24"/>
                <w:highlight w:val="none"/>
                <w:lang w:val="en-US" w:eastAsia="zh-CN"/>
              </w:rPr>
              <w:t>1</w:t>
            </w:r>
          </w:p>
        </w:tc>
        <w:tc>
          <w:tcPr>
            <w:tcW w:w="1500" w:type="dxa"/>
            <w:noWrap w:val="0"/>
            <w:vAlign w:val="center"/>
          </w:tcPr>
          <w:p w14:paraId="6D90859B">
            <w:pPr>
              <w:keepNext w:val="0"/>
              <w:keepLines w:val="0"/>
              <w:pageBreakBefore w:val="0"/>
              <w:widowControl w:val="0"/>
              <w:kinsoku/>
              <w:wordWrap w:val="0"/>
              <w:overflowPunct w:val="0"/>
              <w:topLinePunct/>
              <w:autoSpaceDE/>
              <w:autoSpaceDN/>
              <w:bidi w:val="0"/>
              <w:adjustRightInd/>
              <w:snapToGrid/>
              <w:spacing w:line="500" w:lineRule="atLeast"/>
              <w:ind w:right="0" w:rightChars="0" w:firstLine="0" w:firstLineChars="0"/>
              <w:jc w:val="center"/>
              <w:textAlignment w:val="center"/>
              <w:rPr>
                <w:rFonts w:hint="eastAsia" w:ascii="仿宋" w:hAnsi="仿宋" w:eastAsia="仿宋" w:cs="仿宋"/>
                <w:spacing w:val="-8"/>
                <w:kern w:val="2"/>
                <w:sz w:val="24"/>
                <w:szCs w:val="24"/>
                <w:highlight w:val="none"/>
                <w:lang w:val="en-US" w:eastAsia="en-US" w:bidi="ar-SA"/>
              </w:rPr>
            </w:pPr>
            <w:r>
              <w:rPr>
                <w:rFonts w:hint="eastAsia" w:ascii="仿宋" w:hAnsi="仿宋" w:eastAsia="仿宋" w:cs="仿宋"/>
                <w:spacing w:val="-8"/>
                <w:kern w:val="2"/>
                <w:sz w:val="24"/>
                <w:szCs w:val="24"/>
                <w:highlight w:val="none"/>
                <w:lang w:val="en-US" w:eastAsia="zh-CN" w:bidi="ar-SA"/>
              </w:rPr>
              <w:t>常用安防系统及设备器材</w:t>
            </w:r>
            <w:r>
              <w:rPr>
                <w:rFonts w:hint="eastAsia" w:ascii="仿宋" w:hAnsi="仿宋" w:eastAsia="仿宋" w:cs="仿宋"/>
                <w:spacing w:val="-8"/>
                <w:kern w:val="2"/>
                <w:sz w:val="24"/>
                <w:szCs w:val="24"/>
                <w:highlight w:val="none"/>
                <w:lang w:val="en-US" w:eastAsia="en-US" w:bidi="ar-SA"/>
              </w:rPr>
              <w:t>报价</w:t>
            </w:r>
            <w:r>
              <w:rPr>
                <w:rFonts w:hint="eastAsia" w:ascii="仿宋" w:hAnsi="仿宋" w:eastAsia="仿宋" w:cs="仿宋"/>
                <w:spacing w:val="-8"/>
                <w:kern w:val="2"/>
                <w:sz w:val="24"/>
                <w:szCs w:val="24"/>
                <w:highlight w:val="none"/>
                <w:lang w:val="en-US" w:eastAsia="zh-CN" w:bidi="ar-SA"/>
              </w:rPr>
              <w:t>20</w:t>
            </w:r>
            <w:r>
              <w:rPr>
                <w:rFonts w:hint="eastAsia" w:ascii="仿宋" w:hAnsi="仿宋" w:eastAsia="仿宋" w:cs="仿宋"/>
                <w:spacing w:val="-8"/>
                <w:kern w:val="2"/>
                <w:sz w:val="24"/>
                <w:szCs w:val="24"/>
                <w:highlight w:val="none"/>
                <w:lang w:val="en-US" w:eastAsia="en-US" w:bidi="ar-SA"/>
              </w:rPr>
              <w:t>%</w:t>
            </w:r>
          </w:p>
          <w:p w14:paraId="09EE2D85">
            <w:pPr>
              <w:keepNext w:val="0"/>
              <w:keepLines w:val="0"/>
              <w:pageBreakBefore w:val="0"/>
              <w:widowControl w:val="0"/>
              <w:kinsoku/>
              <w:wordWrap w:val="0"/>
              <w:overflowPunct w:val="0"/>
              <w:topLinePunct/>
              <w:autoSpaceDE/>
              <w:autoSpaceDN/>
              <w:bidi w:val="0"/>
              <w:adjustRightInd/>
              <w:snapToGrid/>
              <w:spacing w:line="500" w:lineRule="atLeast"/>
              <w:ind w:right="0" w:rightChars="0" w:firstLine="0" w:firstLineChars="0"/>
              <w:jc w:val="center"/>
              <w:textAlignment w:val="center"/>
              <w:rPr>
                <w:rFonts w:hint="eastAsia" w:ascii="仿宋" w:hAnsi="仿宋" w:eastAsia="仿宋" w:cs="仿宋"/>
                <w:spacing w:val="-8"/>
                <w:kern w:val="2"/>
                <w:sz w:val="24"/>
                <w:szCs w:val="24"/>
                <w:highlight w:val="none"/>
                <w:lang w:val="en-US" w:eastAsia="en-US" w:bidi="ar-SA"/>
              </w:rPr>
            </w:pPr>
            <w:r>
              <w:rPr>
                <w:rFonts w:hint="eastAsia" w:ascii="仿宋" w:hAnsi="仿宋" w:eastAsia="仿宋" w:cs="仿宋"/>
                <w:spacing w:val="-8"/>
                <w:kern w:val="2"/>
                <w:sz w:val="24"/>
                <w:szCs w:val="24"/>
                <w:highlight w:val="none"/>
                <w:lang w:val="en-US" w:eastAsia="en-US" w:bidi="ar-SA"/>
              </w:rPr>
              <w:t>（主要评分因素）</w:t>
            </w:r>
          </w:p>
        </w:tc>
        <w:tc>
          <w:tcPr>
            <w:tcW w:w="744" w:type="dxa"/>
            <w:noWrap w:val="0"/>
            <w:vAlign w:val="center"/>
          </w:tcPr>
          <w:p w14:paraId="348F608B">
            <w:pPr>
              <w:keepNext w:val="0"/>
              <w:keepLines w:val="0"/>
              <w:pageBreakBefore w:val="0"/>
              <w:widowControl w:val="0"/>
              <w:kinsoku/>
              <w:wordWrap w:val="0"/>
              <w:overflowPunct w:val="0"/>
              <w:topLinePunct/>
              <w:autoSpaceDE/>
              <w:autoSpaceDN/>
              <w:bidi w:val="0"/>
              <w:adjustRightInd/>
              <w:snapToGrid/>
              <w:spacing w:line="500" w:lineRule="atLeast"/>
              <w:ind w:right="0" w:rightChars="0" w:firstLine="0" w:firstLineChars="0"/>
              <w:jc w:val="center"/>
              <w:textAlignment w:val="center"/>
              <w:rPr>
                <w:rFonts w:hint="eastAsia" w:ascii="仿宋" w:hAnsi="仿宋" w:eastAsia="仿宋" w:cs="仿宋"/>
                <w:spacing w:val="-8"/>
                <w:kern w:val="2"/>
                <w:sz w:val="24"/>
                <w:szCs w:val="24"/>
                <w:highlight w:val="none"/>
                <w:lang w:val="en-US" w:eastAsia="zh-CN" w:bidi="ar-SA"/>
              </w:rPr>
            </w:pPr>
            <w:r>
              <w:rPr>
                <w:rFonts w:hint="eastAsia" w:ascii="仿宋" w:hAnsi="仿宋" w:eastAsia="仿宋" w:cs="仿宋"/>
                <w:spacing w:val="-8"/>
                <w:kern w:val="2"/>
                <w:sz w:val="24"/>
                <w:szCs w:val="24"/>
                <w:highlight w:val="none"/>
                <w:lang w:val="en-US" w:eastAsia="zh-CN" w:bidi="ar-SA"/>
              </w:rPr>
              <w:t>20</w:t>
            </w:r>
          </w:p>
        </w:tc>
        <w:tc>
          <w:tcPr>
            <w:tcW w:w="4824" w:type="dxa"/>
            <w:noWrap w:val="0"/>
            <w:vAlign w:val="center"/>
          </w:tcPr>
          <w:p w14:paraId="3CD1C76B">
            <w:pPr>
              <w:keepNext w:val="0"/>
              <w:keepLines w:val="0"/>
              <w:pageBreakBefore w:val="0"/>
              <w:widowControl w:val="0"/>
              <w:kinsoku/>
              <w:wordWrap w:val="0"/>
              <w:overflowPunct w:val="0"/>
              <w:topLinePunct/>
              <w:autoSpaceDE/>
              <w:autoSpaceDN/>
              <w:bidi w:val="0"/>
              <w:adjustRightInd/>
              <w:snapToGrid/>
              <w:spacing w:line="500" w:lineRule="atLeast"/>
              <w:ind w:right="0" w:rightChars="0" w:firstLine="0" w:firstLineChars="0"/>
              <w:jc w:val="left"/>
              <w:textAlignment w:val="center"/>
              <w:rPr>
                <w:rFonts w:hint="eastAsia" w:ascii="仿宋" w:hAnsi="仿宋" w:eastAsia="仿宋" w:cs="仿宋"/>
                <w:b w:val="0"/>
                <w:bCs/>
                <w:color w:val="auto"/>
                <w:sz w:val="24"/>
                <w:szCs w:val="24"/>
                <w:highlight w:val="none"/>
              </w:rPr>
            </w:pPr>
            <w:r>
              <w:rPr>
                <w:rFonts w:hint="eastAsia" w:ascii="仿宋" w:hAnsi="仿宋" w:eastAsia="仿宋" w:cs="仿宋"/>
                <w:b w:val="0"/>
                <w:bCs/>
                <w:color w:val="auto"/>
                <w:sz w:val="24"/>
                <w:szCs w:val="24"/>
                <w:highlight w:val="none"/>
              </w:rPr>
              <w:t>满足</w:t>
            </w:r>
            <w:r>
              <w:rPr>
                <w:rFonts w:hint="eastAsia" w:ascii="仿宋" w:hAnsi="仿宋" w:eastAsia="仿宋" w:cs="仿宋"/>
                <w:b w:val="0"/>
                <w:bCs/>
                <w:color w:val="auto"/>
                <w:sz w:val="24"/>
                <w:szCs w:val="24"/>
                <w:highlight w:val="none"/>
                <w:lang w:eastAsia="zh-CN"/>
              </w:rPr>
              <w:t>磋商文件</w:t>
            </w:r>
            <w:r>
              <w:rPr>
                <w:rFonts w:hint="eastAsia" w:ascii="仿宋" w:hAnsi="仿宋" w:eastAsia="仿宋" w:cs="仿宋"/>
                <w:b w:val="0"/>
                <w:bCs/>
                <w:color w:val="auto"/>
                <w:sz w:val="24"/>
                <w:szCs w:val="24"/>
                <w:highlight w:val="none"/>
              </w:rPr>
              <w:t>要求且</w:t>
            </w:r>
            <w:r>
              <w:rPr>
                <w:rFonts w:hint="eastAsia" w:ascii="仿宋" w:hAnsi="仿宋" w:eastAsia="仿宋" w:cs="仿宋"/>
                <w:b w:val="0"/>
                <w:bCs/>
                <w:color w:val="auto"/>
                <w:sz w:val="24"/>
                <w:szCs w:val="24"/>
                <w:highlight w:val="none"/>
                <w:lang w:val="en-US" w:eastAsia="zh-CN"/>
              </w:rPr>
              <w:t>响应</w:t>
            </w:r>
            <w:r>
              <w:rPr>
                <w:rFonts w:hint="eastAsia" w:ascii="仿宋" w:hAnsi="仿宋" w:eastAsia="仿宋" w:cs="仿宋"/>
                <w:b w:val="0"/>
                <w:bCs/>
                <w:color w:val="auto"/>
                <w:sz w:val="24"/>
                <w:szCs w:val="24"/>
                <w:highlight w:val="none"/>
              </w:rPr>
              <w:t>统一折扣最低的</w:t>
            </w:r>
            <w:r>
              <w:rPr>
                <w:rFonts w:hint="eastAsia" w:ascii="仿宋" w:hAnsi="仿宋" w:eastAsia="仿宋" w:cs="仿宋"/>
                <w:b w:val="0"/>
                <w:bCs/>
                <w:color w:val="auto"/>
                <w:sz w:val="24"/>
                <w:szCs w:val="24"/>
                <w:highlight w:val="none"/>
                <w:lang w:val="en-US" w:eastAsia="zh-CN"/>
              </w:rPr>
              <w:t>响应</w:t>
            </w:r>
            <w:r>
              <w:rPr>
                <w:rFonts w:hint="eastAsia" w:ascii="仿宋" w:hAnsi="仿宋" w:eastAsia="仿宋" w:cs="仿宋"/>
                <w:b w:val="0"/>
                <w:bCs/>
                <w:color w:val="auto"/>
                <w:sz w:val="24"/>
                <w:szCs w:val="24"/>
                <w:highlight w:val="none"/>
              </w:rPr>
              <w:t>报价为评标基准价，其价格分为满分，报价得分满分为</w:t>
            </w:r>
            <w:r>
              <w:rPr>
                <w:rFonts w:hint="eastAsia" w:ascii="仿宋" w:hAnsi="仿宋" w:eastAsia="仿宋" w:cs="仿宋"/>
                <w:b w:val="0"/>
                <w:bCs/>
                <w:color w:val="auto"/>
                <w:sz w:val="24"/>
                <w:szCs w:val="24"/>
                <w:highlight w:val="none"/>
                <w:lang w:val="en-US" w:eastAsia="zh-CN"/>
              </w:rPr>
              <w:t>20</w:t>
            </w:r>
            <w:r>
              <w:rPr>
                <w:rFonts w:hint="eastAsia" w:ascii="仿宋" w:hAnsi="仿宋" w:eastAsia="仿宋" w:cs="仿宋"/>
                <w:b w:val="0"/>
                <w:bCs/>
                <w:color w:val="auto"/>
                <w:sz w:val="24"/>
                <w:szCs w:val="24"/>
                <w:highlight w:val="none"/>
              </w:rPr>
              <w:t>分。其他</w:t>
            </w:r>
            <w:r>
              <w:rPr>
                <w:rFonts w:hint="eastAsia" w:ascii="仿宋" w:hAnsi="仿宋" w:eastAsia="仿宋" w:cs="仿宋"/>
                <w:b w:val="0"/>
                <w:bCs/>
                <w:color w:val="auto"/>
                <w:sz w:val="24"/>
                <w:szCs w:val="24"/>
                <w:highlight w:val="none"/>
                <w:lang w:eastAsia="zh-CN"/>
              </w:rPr>
              <w:t>供应商</w:t>
            </w:r>
            <w:r>
              <w:rPr>
                <w:rFonts w:hint="eastAsia" w:ascii="仿宋" w:hAnsi="仿宋" w:eastAsia="仿宋" w:cs="仿宋"/>
                <w:b w:val="0"/>
                <w:bCs/>
                <w:color w:val="auto"/>
                <w:sz w:val="24"/>
                <w:szCs w:val="24"/>
                <w:highlight w:val="none"/>
              </w:rPr>
              <w:t>的价格分统一按照下列公式计算：投标报价得分=（评标基准价／投标报价）×</w:t>
            </w:r>
            <w:r>
              <w:rPr>
                <w:rFonts w:hint="eastAsia" w:ascii="仿宋" w:hAnsi="仿宋" w:eastAsia="仿宋" w:cs="仿宋"/>
                <w:b w:val="0"/>
                <w:bCs/>
                <w:color w:val="auto"/>
                <w:sz w:val="24"/>
                <w:szCs w:val="24"/>
                <w:highlight w:val="none"/>
                <w:lang w:val="en-US" w:eastAsia="zh-CN"/>
              </w:rPr>
              <w:t>20</w:t>
            </w:r>
            <w:r>
              <w:rPr>
                <w:rFonts w:hint="eastAsia" w:ascii="仿宋" w:hAnsi="仿宋" w:eastAsia="仿宋" w:cs="仿宋"/>
                <w:b w:val="0"/>
                <w:bCs/>
                <w:color w:val="auto"/>
                <w:sz w:val="24"/>
                <w:szCs w:val="24"/>
                <w:highlight w:val="none"/>
              </w:rPr>
              <w:t>%×100。</w:t>
            </w:r>
          </w:p>
          <w:p w14:paraId="055C4602">
            <w:pPr>
              <w:keepNext w:val="0"/>
              <w:keepLines w:val="0"/>
              <w:pageBreakBefore w:val="0"/>
              <w:widowControl w:val="0"/>
              <w:kinsoku/>
              <w:wordWrap w:val="0"/>
              <w:overflowPunct w:val="0"/>
              <w:topLinePunct/>
              <w:autoSpaceDE/>
              <w:autoSpaceDN/>
              <w:bidi w:val="0"/>
              <w:adjustRightInd/>
              <w:snapToGrid/>
              <w:spacing w:line="500" w:lineRule="atLeast"/>
              <w:ind w:right="0" w:rightChars="0" w:firstLine="0" w:firstLineChars="0"/>
              <w:jc w:val="left"/>
              <w:textAlignment w:val="center"/>
              <w:rPr>
                <w:rFonts w:hint="eastAsia" w:ascii="仿宋" w:hAnsi="仿宋" w:eastAsia="仿宋" w:cs="仿宋"/>
                <w:b w:val="0"/>
                <w:bCs/>
                <w:color w:val="auto"/>
                <w:sz w:val="24"/>
                <w:szCs w:val="24"/>
                <w:highlight w:val="none"/>
              </w:rPr>
            </w:pPr>
            <w:r>
              <w:rPr>
                <w:rFonts w:hint="eastAsia" w:ascii="仿宋" w:hAnsi="仿宋" w:eastAsia="仿宋" w:cs="仿宋"/>
                <w:b w:val="0"/>
                <w:bCs/>
                <w:color w:val="auto"/>
                <w:sz w:val="24"/>
                <w:szCs w:val="24"/>
                <w:highlight w:val="none"/>
              </w:rPr>
              <w:t>比如：如A</w:t>
            </w:r>
            <w:r>
              <w:rPr>
                <w:rFonts w:hint="eastAsia" w:ascii="仿宋" w:hAnsi="仿宋" w:eastAsia="仿宋" w:cs="仿宋"/>
                <w:b w:val="0"/>
                <w:bCs/>
                <w:color w:val="auto"/>
                <w:sz w:val="24"/>
                <w:szCs w:val="24"/>
                <w:highlight w:val="none"/>
                <w:lang w:eastAsia="zh-CN"/>
              </w:rPr>
              <w:t>供应商</w:t>
            </w:r>
            <w:r>
              <w:rPr>
                <w:rFonts w:hint="eastAsia" w:ascii="仿宋" w:hAnsi="仿宋" w:eastAsia="仿宋" w:cs="仿宋"/>
                <w:b w:val="0"/>
                <w:bCs/>
                <w:color w:val="auto"/>
                <w:sz w:val="24"/>
                <w:szCs w:val="24"/>
                <w:highlight w:val="none"/>
              </w:rPr>
              <w:t>统一折扣为90%，B</w:t>
            </w:r>
            <w:r>
              <w:rPr>
                <w:rFonts w:hint="eastAsia" w:ascii="仿宋" w:hAnsi="仿宋" w:eastAsia="仿宋" w:cs="仿宋"/>
                <w:b w:val="0"/>
                <w:bCs/>
                <w:color w:val="auto"/>
                <w:sz w:val="24"/>
                <w:szCs w:val="24"/>
                <w:highlight w:val="none"/>
                <w:lang w:eastAsia="zh-CN"/>
              </w:rPr>
              <w:t>供应商</w:t>
            </w:r>
            <w:r>
              <w:rPr>
                <w:rFonts w:hint="eastAsia" w:ascii="仿宋" w:hAnsi="仿宋" w:eastAsia="仿宋" w:cs="仿宋"/>
                <w:b w:val="0"/>
                <w:bCs/>
                <w:color w:val="auto"/>
                <w:sz w:val="24"/>
                <w:szCs w:val="24"/>
                <w:highlight w:val="none"/>
              </w:rPr>
              <w:t>统一折扣为80%，则B</w:t>
            </w:r>
            <w:r>
              <w:rPr>
                <w:rFonts w:hint="eastAsia" w:ascii="仿宋" w:hAnsi="仿宋" w:eastAsia="仿宋" w:cs="仿宋"/>
                <w:b w:val="0"/>
                <w:bCs/>
                <w:color w:val="auto"/>
                <w:sz w:val="24"/>
                <w:szCs w:val="24"/>
                <w:highlight w:val="none"/>
                <w:lang w:eastAsia="zh-CN"/>
              </w:rPr>
              <w:t>供应商</w:t>
            </w:r>
            <w:r>
              <w:rPr>
                <w:rFonts w:hint="eastAsia" w:ascii="仿宋" w:hAnsi="仿宋" w:eastAsia="仿宋" w:cs="仿宋"/>
                <w:b w:val="0"/>
                <w:bCs/>
                <w:color w:val="auto"/>
                <w:sz w:val="24"/>
                <w:szCs w:val="24"/>
                <w:highlight w:val="none"/>
              </w:rPr>
              <w:t>统一折扣最低。</w:t>
            </w:r>
          </w:p>
        </w:tc>
        <w:tc>
          <w:tcPr>
            <w:tcW w:w="786" w:type="dxa"/>
            <w:noWrap w:val="0"/>
            <w:vAlign w:val="center"/>
          </w:tcPr>
          <w:p w14:paraId="315B12FA">
            <w:pPr>
              <w:keepNext w:val="0"/>
              <w:keepLines w:val="0"/>
              <w:pageBreakBefore w:val="0"/>
              <w:widowControl w:val="0"/>
              <w:kinsoku/>
              <w:wordWrap w:val="0"/>
              <w:overflowPunct w:val="0"/>
              <w:topLinePunct/>
              <w:autoSpaceDE/>
              <w:autoSpaceDN/>
              <w:bidi w:val="0"/>
              <w:adjustRightInd/>
              <w:snapToGrid/>
              <w:spacing w:line="500" w:lineRule="atLeast"/>
              <w:ind w:right="0" w:rightChars="0" w:firstLine="0" w:firstLineChars="0"/>
              <w:jc w:val="center"/>
              <w:textAlignment w:val="center"/>
              <w:rPr>
                <w:rFonts w:hint="eastAsia" w:ascii="仿宋" w:hAnsi="仿宋" w:eastAsia="仿宋" w:cs="仿宋"/>
                <w:b/>
                <w:bCs/>
                <w:color w:val="auto"/>
                <w:sz w:val="24"/>
                <w:szCs w:val="24"/>
                <w:highlight w:val="none"/>
                <w:lang w:val="en-US" w:eastAsia="zh-CN"/>
              </w:rPr>
            </w:pPr>
            <w:r>
              <w:rPr>
                <w:rFonts w:hint="eastAsia" w:ascii="仿宋" w:hAnsi="仿宋" w:eastAsia="仿宋" w:cs="仿宋"/>
                <w:b/>
                <w:bCs/>
                <w:color w:val="auto"/>
                <w:sz w:val="24"/>
                <w:szCs w:val="24"/>
                <w:highlight w:val="none"/>
                <w:lang w:val="en-US" w:eastAsia="zh-CN"/>
              </w:rPr>
              <w:t>客观</w:t>
            </w:r>
          </w:p>
        </w:tc>
      </w:tr>
      <w:tr w14:paraId="4DE82E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05" w:hRule="atLeast"/>
        </w:trPr>
        <w:tc>
          <w:tcPr>
            <w:tcW w:w="668" w:type="dxa"/>
            <w:vMerge w:val="continue"/>
            <w:noWrap w:val="0"/>
            <w:vAlign w:val="center"/>
          </w:tcPr>
          <w:p w14:paraId="43AD7D2C">
            <w:pPr>
              <w:keepNext w:val="0"/>
              <w:keepLines w:val="0"/>
              <w:pageBreakBefore w:val="0"/>
              <w:widowControl w:val="0"/>
              <w:kinsoku/>
              <w:wordWrap w:val="0"/>
              <w:overflowPunct w:val="0"/>
              <w:topLinePunct/>
              <w:autoSpaceDE/>
              <w:autoSpaceDN/>
              <w:bidi w:val="0"/>
              <w:adjustRightInd/>
              <w:snapToGrid/>
              <w:spacing w:line="500" w:lineRule="atLeast"/>
              <w:ind w:right="0" w:rightChars="0" w:firstLine="0" w:firstLineChars="0"/>
              <w:jc w:val="center"/>
              <w:textAlignment w:val="center"/>
              <w:rPr>
                <w:rFonts w:hint="eastAsia" w:ascii="仿宋" w:hAnsi="仿宋" w:eastAsia="仿宋" w:cs="仿宋"/>
                <w:b/>
                <w:color w:val="auto"/>
                <w:sz w:val="24"/>
                <w:szCs w:val="24"/>
                <w:highlight w:val="none"/>
                <w:lang w:val="en-US" w:eastAsia="zh-CN"/>
              </w:rPr>
            </w:pPr>
          </w:p>
        </w:tc>
        <w:tc>
          <w:tcPr>
            <w:tcW w:w="1500" w:type="dxa"/>
            <w:noWrap w:val="0"/>
            <w:vAlign w:val="center"/>
          </w:tcPr>
          <w:p w14:paraId="0D08B0AE">
            <w:pPr>
              <w:keepNext w:val="0"/>
              <w:keepLines w:val="0"/>
              <w:pageBreakBefore w:val="0"/>
              <w:widowControl w:val="0"/>
              <w:kinsoku/>
              <w:wordWrap w:val="0"/>
              <w:overflowPunct w:val="0"/>
              <w:topLinePunct/>
              <w:autoSpaceDE/>
              <w:autoSpaceDN/>
              <w:bidi w:val="0"/>
              <w:adjustRightInd/>
              <w:snapToGrid/>
              <w:spacing w:line="500" w:lineRule="atLeast"/>
              <w:ind w:right="0" w:rightChars="0" w:firstLine="0" w:firstLineChars="0"/>
              <w:jc w:val="center"/>
              <w:textAlignment w:val="center"/>
              <w:rPr>
                <w:rFonts w:hint="eastAsia" w:ascii="仿宋" w:hAnsi="仿宋" w:eastAsia="仿宋" w:cs="仿宋"/>
                <w:spacing w:val="-8"/>
                <w:kern w:val="2"/>
                <w:sz w:val="24"/>
                <w:szCs w:val="24"/>
                <w:highlight w:val="none"/>
                <w:lang w:val="en-US" w:eastAsia="en-US" w:bidi="ar-SA"/>
              </w:rPr>
            </w:pPr>
            <w:r>
              <w:rPr>
                <w:rFonts w:hint="eastAsia" w:ascii="仿宋" w:hAnsi="仿宋" w:eastAsia="仿宋" w:cs="仿宋"/>
                <w:spacing w:val="-8"/>
                <w:kern w:val="2"/>
                <w:sz w:val="24"/>
                <w:szCs w:val="24"/>
                <w:highlight w:val="none"/>
                <w:lang w:val="en-US" w:eastAsia="zh-CN" w:bidi="ar-SA"/>
              </w:rPr>
              <w:t>非</w:t>
            </w:r>
            <w:r>
              <w:rPr>
                <w:rFonts w:hint="eastAsia" w:ascii="仿宋" w:hAnsi="仿宋" w:eastAsia="仿宋" w:cs="仿宋"/>
                <w:spacing w:val="-8"/>
                <w:kern w:val="2"/>
                <w:sz w:val="24"/>
                <w:szCs w:val="24"/>
                <w:highlight w:val="none"/>
                <w:lang w:val="en-US" w:eastAsia="en-US" w:bidi="ar-SA"/>
              </w:rPr>
              <w:t>常用安防系统及设备器材报价</w:t>
            </w:r>
            <w:r>
              <w:rPr>
                <w:rFonts w:hint="eastAsia" w:ascii="仿宋" w:hAnsi="仿宋" w:eastAsia="仿宋" w:cs="仿宋"/>
                <w:spacing w:val="-8"/>
                <w:kern w:val="2"/>
                <w:sz w:val="24"/>
                <w:szCs w:val="24"/>
                <w:highlight w:val="none"/>
                <w:lang w:val="en-US" w:eastAsia="zh-CN" w:bidi="ar-SA"/>
              </w:rPr>
              <w:t>10</w:t>
            </w:r>
            <w:r>
              <w:rPr>
                <w:rFonts w:hint="eastAsia" w:ascii="仿宋" w:hAnsi="仿宋" w:eastAsia="仿宋" w:cs="仿宋"/>
                <w:spacing w:val="-8"/>
                <w:kern w:val="2"/>
                <w:sz w:val="24"/>
                <w:szCs w:val="24"/>
                <w:highlight w:val="none"/>
                <w:lang w:val="en-US" w:eastAsia="en-US" w:bidi="ar-SA"/>
              </w:rPr>
              <w:t>%</w:t>
            </w:r>
          </w:p>
          <w:p w14:paraId="7A845AC9">
            <w:pPr>
              <w:keepNext w:val="0"/>
              <w:keepLines w:val="0"/>
              <w:pageBreakBefore w:val="0"/>
              <w:widowControl w:val="0"/>
              <w:kinsoku/>
              <w:wordWrap w:val="0"/>
              <w:overflowPunct w:val="0"/>
              <w:topLinePunct/>
              <w:autoSpaceDE/>
              <w:autoSpaceDN/>
              <w:bidi w:val="0"/>
              <w:adjustRightInd/>
              <w:snapToGrid/>
              <w:spacing w:line="500" w:lineRule="atLeast"/>
              <w:ind w:right="0" w:rightChars="0" w:firstLine="0" w:firstLineChars="0"/>
              <w:jc w:val="center"/>
              <w:textAlignment w:val="center"/>
              <w:rPr>
                <w:rFonts w:hint="eastAsia" w:ascii="仿宋" w:hAnsi="仿宋" w:eastAsia="仿宋" w:cs="仿宋"/>
                <w:spacing w:val="-8"/>
                <w:kern w:val="2"/>
                <w:sz w:val="24"/>
                <w:szCs w:val="24"/>
                <w:highlight w:val="none"/>
                <w:lang w:val="en-US" w:eastAsia="en-US" w:bidi="ar-SA"/>
              </w:rPr>
            </w:pPr>
            <w:r>
              <w:rPr>
                <w:rFonts w:hint="eastAsia" w:ascii="仿宋" w:hAnsi="仿宋" w:eastAsia="仿宋" w:cs="仿宋"/>
                <w:spacing w:val="-8"/>
                <w:kern w:val="2"/>
                <w:sz w:val="24"/>
                <w:szCs w:val="24"/>
                <w:highlight w:val="none"/>
                <w:lang w:val="en-US" w:eastAsia="en-US" w:bidi="ar-SA"/>
              </w:rPr>
              <w:t>（主要评分因素）</w:t>
            </w:r>
          </w:p>
        </w:tc>
        <w:tc>
          <w:tcPr>
            <w:tcW w:w="744" w:type="dxa"/>
            <w:noWrap w:val="0"/>
            <w:vAlign w:val="center"/>
          </w:tcPr>
          <w:p w14:paraId="7DA34E6C">
            <w:pPr>
              <w:keepNext w:val="0"/>
              <w:keepLines w:val="0"/>
              <w:pageBreakBefore w:val="0"/>
              <w:widowControl w:val="0"/>
              <w:kinsoku/>
              <w:wordWrap w:val="0"/>
              <w:overflowPunct w:val="0"/>
              <w:topLinePunct/>
              <w:autoSpaceDE/>
              <w:autoSpaceDN/>
              <w:bidi w:val="0"/>
              <w:adjustRightInd/>
              <w:snapToGrid/>
              <w:spacing w:line="500" w:lineRule="atLeast"/>
              <w:ind w:right="0" w:rightChars="0" w:firstLine="0" w:firstLineChars="0"/>
              <w:jc w:val="center"/>
              <w:textAlignment w:val="center"/>
              <w:rPr>
                <w:rFonts w:hint="eastAsia" w:ascii="仿宋" w:hAnsi="仿宋" w:eastAsia="仿宋" w:cs="仿宋"/>
                <w:spacing w:val="-8"/>
                <w:kern w:val="2"/>
                <w:sz w:val="24"/>
                <w:szCs w:val="24"/>
                <w:highlight w:val="none"/>
                <w:lang w:val="en-US" w:eastAsia="zh-CN" w:bidi="ar-SA"/>
              </w:rPr>
            </w:pPr>
            <w:r>
              <w:rPr>
                <w:rFonts w:hint="eastAsia" w:ascii="仿宋" w:hAnsi="仿宋" w:eastAsia="仿宋" w:cs="仿宋"/>
                <w:spacing w:val="-8"/>
                <w:kern w:val="2"/>
                <w:sz w:val="24"/>
                <w:szCs w:val="24"/>
                <w:highlight w:val="none"/>
                <w:lang w:val="en-US" w:eastAsia="zh-CN" w:bidi="ar-SA"/>
              </w:rPr>
              <w:t>10</w:t>
            </w:r>
          </w:p>
        </w:tc>
        <w:tc>
          <w:tcPr>
            <w:tcW w:w="4824" w:type="dxa"/>
            <w:noWrap w:val="0"/>
            <w:vAlign w:val="center"/>
          </w:tcPr>
          <w:p w14:paraId="772D19DE">
            <w:pPr>
              <w:keepNext w:val="0"/>
              <w:keepLines w:val="0"/>
              <w:pageBreakBefore w:val="0"/>
              <w:widowControl w:val="0"/>
              <w:kinsoku/>
              <w:wordWrap w:val="0"/>
              <w:overflowPunct w:val="0"/>
              <w:topLinePunct/>
              <w:autoSpaceDE/>
              <w:autoSpaceDN/>
              <w:bidi w:val="0"/>
              <w:adjustRightInd/>
              <w:snapToGrid/>
              <w:spacing w:line="500" w:lineRule="atLeast"/>
              <w:ind w:right="0" w:rightChars="0" w:firstLine="0" w:firstLineChars="0"/>
              <w:jc w:val="left"/>
              <w:textAlignment w:val="center"/>
              <w:rPr>
                <w:rFonts w:hint="eastAsia" w:ascii="仿宋" w:hAnsi="仿宋" w:eastAsia="仿宋" w:cs="仿宋"/>
                <w:b w:val="0"/>
                <w:bCs/>
                <w:color w:val="auto"/>
                <w:sz w:val="24"/>
                <w:szCs w:val="24"/>
                <w:highlight w:val="none"/>
              </w:rPr>
            </w:pPr>
            <w:r>
              <w:rPr>
                <w:rFonts w:hint="eastAsia" w:ascii="仿宋" w:hAnsi="仿宋" w:eastAsia="仿宋" w:cs="仿宋"/>
                <w:b w:val="0"/>
                <w:bCs/>
                <w:color w:val="auto"/>
                <w:sz w:val="24"/>
                <w:szCs w:val="24"/>
                <w:highlight w:val="none"/>
              </w:rPr>
              <w:t>满足</w:t>
            </w:r>
            <w:r>
              <w:rPr>
                <w:rFonts w:hint="eastAsia" w:ascii="仿宋" w:hAnsi="仿宋" w:eastAsia="仿宋" w:cs="仿宋"/>
                <w:b w:val="0"/>
                <w:bCs/>
                <w:color w:val="auto"/>
                <w:sz w:val="24"/>
                <w:szCs w:val="24"/>
                <w:highlight w:val="none"/>
                <w:lang w:eastAsia="zh-CN"/>
              </w:rPr>
              <w:t>磋商文件</w:t>
            </w:r>
            <w:r>
              <w:rPr>
                <w:rFonts w:hint="eastAsia" w:ascii="仿宋" w:hAnsi="仿宋" w:eastAsia="仿宋" w:cs="仿宋"/>
                <w:b w:val="0"/>
                <w:bCs/>
                <w:color w:val="auto"/>
                <w:sz w:val="24"/>
                <w:szCs w:val="24"/>
                <w:highlight w:val="none"/>
              </w:rPr>
              <w:t>要求且</w:t>
            </w:r>
            <w:r>
              <w:rPr>
                <w:rFonts w:hint="eastAsia" w:ascii="仿宋" w:hAnsi="仿宋" w:eastAsia="仿宋" w:cs="仿宋"/>
                <w:b w:val="0"/>
                <w:bCs/>
                <w:color w:val="auto"/>
                <w:sz w:val="24"/>
                <w:szCs w:val="24"/>
                <w:highlight w:val="none"/>
                <w:lang w:val="en-US" w:eastAsia="zh-CN"/>
              </w:rPr>
              <w:t>响应</w:t>
            </w:r>
            <w:r>
              <w:rPr>
                <w:rFonts w:hint="eastAsia" w:ascii="仿宋" w:hAnsi="仿宋" w:eastAsia="仿宋" w:cs="仿宋"/>
                <w:b w:val="0"/>
                <w:bCs/>
                <w:color w:val="auto"/>
                <w:sz w:val="24"/>
                <w:szCs w:val="24"/>
                <w:highlight w:val="none"/>
              </w:rPr>
              <w:t>统一折扣最低的</w:t>
            </w:r>
            <w:r>
              <w:rPr>
                <w:rFonts w:hint="eastAsia" w:ascii="仿宋" w:hAnsi="仿宋" w:eastAsia="仿宋" w:cs="仿宋"/>
                <w:b w:val="0"/>
                <w:bCs/>
                <w:color w:val="auto"/>
                <w:sz w:val="24"/>
                <w:szCs w:val="24"/>
                <w:highlight w:val="none"/>
                <w:lang w:val="en-US" w:eastAsia="zh-CN"/>
              </w:rPr>
              <w:t>响应</w:t>
            </w:r>
            <w:r>
              <w:rPr>
                <w:rFonts w:hint="eastAsia" w:ascii="仿宋" w:hAnsi="仿宋" w:eastAsia="仿宋" w:cs="仿宋"/>
                <w:b w:val="0"/>
                <w:bCs/>
                <w:color w:val="auto"/>
                <w:sz w:val="24"/>
                <w:szCs w:val="24"/>
                <w:highlight w:val="none"/>
              </w:rPr>
              <w:t>报价为评标基准价，其价格分为满分，报价得分满分为</w:t>
            </w:r>
            <w:r>
              <w:rPr>
                <w:rFonts w:hint="eastAsia" w:ascii="仿宋" w:hAnsi="仿宋" w:eastAsia="仿宋" w:cs="仿宋"/>
                <w:b w:val="0"/>
                <w:bCs/>
                <w:color w:val="auto"/>
                <w:sz w:val="24"/>
                <w:szCs w:val="24"/>
                <w:highlight w:val="none"/>
                <w:lang w:val="en-US" w:eastAsia="zh-CN"/>
              </w:rPr>
              <w:t>10</w:t>
            </w:r>
            <w:r>
              <w:rPr>
                <w:rFonts w:hint="eastAsia" w:ascii="仿宋" w:hAnsi="仿宋" w:eastAsia="仿宋" w:cs="仿宋"/>
                <w:b w:val="0"/>
                <w:bCs/>
                <w:color w:val="auto"/>
                <w:sz w:val="24"/>
                <w:szCs w:val="24"/>
                <w:highlight w:val="none"/>
              </w:rPr>
              <w:t>分。其他</w:t>
            </w:r>
            <w:r>
              <w:rPr>
                <w:rFonts w:hint="eastAsia" w:ascii="仿宋" w:hAnsi="仿宋" w:eastAsia="仿宋" w:cs="仿宋"/>
                <w:b w:val="0"/>
                <w:bCs/>
                <w:color w:val="auto"/>
                <w:sz w:val="24"/>
                <w:szCs w:val="24"/>
                <w:highlight w:val="none"/>
                <w:lang w:eastAsia="zh-CN"/>
              </w:rPr>
              <w:t>供应商</w:t>
            </w:r>
            <w:r>
              <w:rPr>
                <w:rFonts w:hint="eastAsia" w:ascii="仿宋" w:hAnsi="仿宋" w:eastAsia="仿宋" w:cs="仿宋"/>
                <w:b w:val="0"/>
                <w:bCs/>
                <w:color w:val="auto"/>
                <w:sz w:val="24"/>
                <w:szCs w:val="24"/>
                <w:highlight w:val="none"/>
              </w:rPr>
              <w:t>的价格分统一按照下列公式计算：投标报价得分=（评标基准价／投标报价）×</w:t>
            </w:r>
            <w:r>
              <w:rPr>
                <w:rFonts w:hint="eastAsia" w:ascii="仿宋" w:hAnsi="仿宋" w:eastAsia="仿宋" w:cs="仿宋"/>
                <w:b w:val="0"/>
                <w:bCs/>
                <w:color w:val="auto"/>
                <w:sz w:val="24"/>
                <w:szCs w:val="24"/>
                <w:highlight w:val="none"/>
                <w:lang w:val="en-US" w:eastAsia="zh-CN"/>
              </w:rPr>
              <w:t>10</w:t>
            </w:r>
            <w:r>
              <w:rPr>
                <w:rFonts w:hint="eastAsia" w:ascii="仿宋" w:hAnsi="仿宋" w:eastAsia="仿宋" w:cs="仿宋"/>
                <w:b w:val="0"/>
                <w:bCs/>
                <w:color w:val="auto"/>
                <w:sz w:val="24"/>
                <w:szCs w:val="24"/>
                <w:highlight w:val="none"/>
              </w:rPr>
              <w:t>%×100。</w:t>
            </w:r>
          </w:p>
          <w:p w14:paraId="177BD6D4">
            <w:pPr>
              <w:keepNext w:val="0"/>
              <w:keepLines w:val="0"/>
              <w:pageBreakBefore w:val="0"/>
              <w:widowControl w:val="0"/>
              <w:kinsoku/>
              <w:wordWrap w:val="0"/>
              <w:overflowPunct w:val="0"/>
              <w:topLinePunct/>
              <w:autoSpaceDE/>
              <w:autoSpaceDN/>
              <w:bidi w:val="0"/>
              <w:adjustRightInd/>
              <w:snapToGrid/>
              <w:spacing w:line="500" w:lineRule="atLeast"/>
              <w:ind w:right="0" w:rightChars="0" w:firstLine="0" w:firstLineChars="0"/>
              <w:jc w:val="left"/>
              <w:textAlignment w:val="center"/>
              <w:rPr>
                <w:rFonts w:hint="eastAsia" w:ascii="仿宋" w:hAnsi="仿宋" w:eastAsia="仿宋" w:cs="仿宋"/>
                <w:b w:val="0"/>
                <w:bCs/>
                <w:color w:val="auto"/>
                <w:sz w:val="24"/>
                <w:szCs w:val="24"/>
                <w:highlight w:val="none"/>
              </w:rPr>
            </w:pPr>
            <w:r>
              <w:rPr>
                <w:rFonts w:hint="eastAsia" w:ascii="仿宋" w:hAnsi="仿宋" w:eastAsia="仿宋" w:cs="仿宋"/>
                <w:b w:val="0"/>
                <w:bCs/>
                <w:color w:val="auto"/>
                <w:sz w:val="24"/>
                <w:szCs w:val="24"/>
                <w:highlight w:val="none"/>
              </w:rPr>
              <w:t>比如：如A</w:t>
            </w:r>
            <w:r>
              <w:rPr>
                <w:rFonts w:hint="eastAsia" w:ascii="仿宋" w:hAnsi="仿宋" w:eastAsia="仿宋" w:cs="仿宋"/>
                <w:b w:val="0"/>
                <w:bCs/>
                <w:color w:val="auto"/>
                <w:sz w:val="24"/>
                <w:szCs w:val="24"/>
                <w:highlight w:val="none"/>
                <w:lang w:eastAsia="zh-CN"/>
              </w:rPr>
              <w:t>供应商</w:t>
            </w:r>
            <w:r>
              <w:rPr>
                <w:rFonts w:hint="eastAsia" w:ascii="仿宋" w:hAnsi="仿宋" w:eastAsia="仿宋" w:cs="仿宋"/>
                <w:b w:val="0"/>
                <w:bCs/>
                <w:color w:val="auto"/>
                <w:sz w:val="24"/>
                <w:szCs w:val="24"/>
                <w:highlight w:val="none"/>
              </w:rPr>
              <w:t>统一折扣为90%，B</w:t>
            </w:r>
            <w:r>
              <w:rPr>
                <w:rFonts w:hint="eastAsia" w:ascii="仿宋" w:hAnsi="仿宋" w:eastAsia="仿宋" w:cs="仿宋"/>
                <w:b w:val="0"/>
                <w:bCs/>
                <w:color w:val="auto"/>
                <w:sz w:val="24"/>
                <w:szCs w:val="24"/>
                <w:highlight w:val="none"/>
                <w:lang w:eastAsia="zh-CN"/>
              </w:rPr>
              <w:t>供应商</w:t>
            </w:r>
            <w:r>
              <w:rPr>
                <w:rFonts w:hint="eastAsia" w:ascii="仿宋" w:hAnsi="仿宋" w:eastAsia="仿宋" w:cs="仿宋"/>
                <w:b w:val="0"/>
                <w:bCs/>
                <w:color w:val="auto"/>
                <w:sz w:val="24"/>
                <w:szCs w:val="24"/>
                <w:highlight w:val="none"/>
              </w:rPr>
              <w:t>统一折扣为80%，则B</w:t>
            </w:r>
            <w:r>
              <w:rPr>
                <w:rFonts w:hint="eastAsia" w:ascii="仿宋" w:hAnsi="仿宋" w:eastAsia="仿宋" w:cs="仿宋"/>
                <w:b w:val="0"/>
                <w:bCs/>
                <w:color w:val="auto"/>
                <w:sz w:val="24"/>
                <w:szCs w:val="24"/>
                <w:highlight w:val="none"/>
                <w:lang w:eastAsia="zh-CN"/>
              </w:rPr>
              <w:t>供应商</w:t>
            </w:r>
            <w:r>
              <w:rPr>
                <w:rFonts w:hint="eastAsia" w:ascii="仿宋" w:hAnsi="仿宋" w:eastAsia="仿宋" w:cs="仿宋"/>
                <w:b w:val="0"/>
                <w:bCs/>
                <w:color w:val="auto"/>
                <w:sz w:val="24"/>
                <w:szCs w:val="24"/>
                <w:highlight w:val="none"/>
              </w:rPr>
              <w:t>统一折扣最低。</w:t>
            </w:r>
          </w:p>
        </w:tc>
        <w:tc>
          <w:tcPr>
            <w:tcW w:w="786" w:type="dxa"/>
            <w:noWrap w:val="0"/>
            <w:vAlign w:val="center"/>
          </w:tcPr>
          <w:p w14:paraId="4BC0E145">
            <w:pPr>
              <w:keepNext w:val="0"/>
              <w:keepLines w:val="0"/>
              <w:pageBreakBefore w:val="0"/>
              <w:widowControl w:val="0"/>
              <w:kinsoku/>
              <w:wordWrap w:val="0"/>
              <w:overflowPunct w:val="0"/>
              <w:topLinePunct/>
              <w:autoSpaceDE/>
              <w:autoSpaceDN/>
              <w:bidi w:val="0"/>
              <w:adjustRightInd/>
              <w:snapToGrid/>
              <w:spacing w:line="500" w:lineRule="atLeast"/>
              <w:ind w:right="0" w:rightChars="0" w:firstLine="0" w:firstLineChars="0"/>
              <w:jc w:val="center"/>
              <w:textAlignment w:val="center"/>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lang w:val="en-US" w:eastAsia="zh-CN"/>
              </w:rPr>
              <w:t>客观</w:t>
            </w:r>
          </w:p>
        </w:tc>
      </w:tr>
      <w:tr w14:paraId="73E0CC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05" w:hRule="atLeast"/>
        </w:trPr>
        <w:tc>
          <w:tcPr>
            <w:tcW w:w="668" w:type="dxa"/>
            <w:noWrap w:val="0"/>
            <w:vAlign w:val="center"/>
          </w:tcPr>
          <w:p w14:paraId="1BC34E4F">
            <w:pPr>
              <w:keepNext w:val="0"/>
              <w:keepLines w:val="0"/>
              <w:pageBreakBefore w:val="0"/>
              <w:widowControl w:val="0"/>
              <w:kinsoku/>
              <w:wordWrap w:val="0"/>
              <w:overflowPunct w:val="0"/>
              <w:topLinePunct/>
              <w:autoSpaceDE/>
              <w:autoSpaceDN/>
              <w:bidi w:val="0"/>
              <w:adjustRightInd/>
              <w:snapToGrid/>
              <w:spacing w:line="500" w:lineRule="atLeast"/>
              <w:ind w:right="0" w:rightChars="0" w:firstLine="0" w:firstLineChars="0"/>
              <w:jc w:val="center"/>
              <w:textAlignment w:val="center"/>
              <w:rPr>
                <w:rFonts w:hint="default" w:ascii="仿宋" w:hAnsi="仿宋" w:eastAsia="仿宋" w:cs="仿宋"/>
                <w:b/>
                <w:color w:val="auto"/>
                <w:sz w:val="24"/>
                <w:szCs w:val="24"/>
                <w:highlight w:val="none"/>
                <w:lang w:val="en-US" w:eastAsia="zh-CN"/>
              </w:rPr>
            </w:pPr>
            <w:r>
              <w:rPr>
                <w:rFonts w:hint="eastAsia" w:ascii="仿宋" w:hAnsi="仿宋" w:eastAsia="仿宋" w:cs="仿宋"/>
                <w:b/>
                <w:color w:val="auto"/>
                <w:sz w:val="24"/>
                <w:szCs w:val="24"/>
                <w:highlight w:val="none"/>
                <w:lang w:val="en-US" w:eastAsia="zh-CN"/>
              </w:rPr>
              <w:t>2</w:t>
            </w:r>
          </w:p>
        </w:tc>
        <w:tc>
          <w:tcPr>
            <w:tcW w:w="1500" w:type="dxa"/>
            <w:noWrap w:val="0"/>
            <w:vAlign w:val="center"/>
          </w:tcPr>
          <w:p w14:paraId="5F4889E6">
            <w:pPr>
              <w:keepNext w:val="0"/>
              <w:keepLines w:val="0"/>
              <w:pageBreakBefore w:val="0"/>
              <w:widowControl w:val="0"/>
              <w:kinsoku/>
              <w:wordWrap w:val="0"/>
              <w:overflowPunct w:val="0"/>
              <w:topLinePunct/>
              <w:autoSpaceDE/>
              <w:autoSpaceDN/>
              <w:bidi w:val="0"/>
              <w:adjustRightInd/>
              <w:snapToGrid/>
              <w:spacing w:line="500" w:lineRule="atLeast"/>
              <w:ind w:right="0" w:rightChars="0" w:firstLine="0" w:firstLineChars="0"/>
              <w:jc w:val="center"/>
              <w:textAlignment w:val="center"/>
              <w:rPr>
                <w:rFonts w:hint="eastAsia" w:ascii="仿宋" w:hAnsi="仿宋" w:eastAsia="仿宋" w:cs="仿宋"/>
                <w:spacing w:val="-8"/>
                <w:kern w:val="2"/>
                <w:sz w:val="24"/>
                <w:szCs w:val="24"/>
                <w:highlight w:val="none"/>
                <w:lang w:val="en-US" w:eastAsia="en-US" w:bidi="ar-SA"/>
              </w:rPr>
            </w:pPr>
            <w:r>
              <w:rPr>
                <w:rFonts w:hint="eastAsia" w:ascii="仿宋" w:hAnsi="仿宋" w:eastAsia="仿宋" w:cs="仿宋"/>
                <w:spacing w:val="-8"/>
                <w:sz w:val="24"/>
                <w:szCs w:val="24"/>
                <w:highlight w:val="none"/>
              </w:rPr>
              <w:t>技术要求</w:t>
            </w:r>
            <w:r>
              <w:rPr>
                <w:rFonts w:hint="eastAsia" w:ascii="仿宋" w:hAnsi="仿宋" w:eastAsia="仿宋" w:cs="仿宋"/>
                <w:spacing w:val="-8"/>
                <w:kern w:val="2"/>
                <w:sz w:val="24"/>
                <w:szCs w:val="24"/>
                <w:highlight w:val="none"/>
                <w:lang w:val="en-US" w:eastAsia="zh-CN" w:bidi="ar-SA"/>
              </w:rPr>
              <w:t>25</w:t>
            </w:r>
            <w:r>
              <w:rPr>
                <w:rFonts w:hint="eastAsia" w:ascii="仿宋" w:hAnsi="仿宋" w:eastAsia="仿宋" w:cs="仿宋"/>
                <w:spacing w:val="-8"/>
                <w:kern w:val="2"/>
                <w:sz w:val="24"/>
                <w:szCs w:val="24"/>
                <w:highlight w:val="none"/>
                <w:lang w:val="en-US" w:eastAsia="en-US" w:bidi="ar-SA"/>
              </w:rPr>
              <w:t>%</w:t>
            </w:r>
          </w:p>
        </w:tc>
        <w:tc>
          <w:tcPr>
            <w:tcW w:w="744" w:type="dxa"/>
            <w:noWrap w:val="0"/>
            <w:vAlign w:val="center"/>
          </w:tcPr>
          <w:p w14:paraId="1C7CF1F3">
            <w:pPr>
              <w:keepNext w:val="0"/>
              <w:keepLines w:val="0"/>
              <w:pageBreakBefore w:val="0"/>
              <w:widowControl w:val="0"/>
              <w:kinsoku/>
              <w:wordWrap w:val="0"/>
              <w:overflowPunct w:val="0"/>
              <w:topLinePunct/>
              <w:autoSpaceDE/>
              <w:autoSpaceDN/>
              <w:bidi w:val="0"/>
              <w:adjustRightInd/>
              <w:snapToGrid/>
              <w:spacing w:line="500" w:lineRule="atLeast"/>
              <w:ind w:right="0" w:rightChars="0" w:firstLine="0" w:firstLineChars="0"/>
              <w:jc w:val="center"/>
              <w:textAlignment w:val="center"/>
              <w:rPr>
                <w:rFonts w:hint="eastAsia" w:ascii="仿宋" w:hAnsi="仿宋" w:eastAsia="仿宋" w:cs="仿宋"/>
                <w:spacing w:val="-8"/>
                <w:kern w:val="2"/>
                <w:sz w:val="24"/>
                <w:szCs w:val="24"/>
                <w:highlight w:val="none"/>
                <w:lang w:val="en-US" w:eastAsia="zh-CN" w:bidi="ar-SA"/>
              </w:rPr>
            </w:pPr>
            <w:r>
              <w:rPr>
                <w:rFonts w:hint="eastAsia" w:ascii="仿宋" w:hAnsi="仿宋" w:eastAsia="仿宋" w:cs="仿宋"/>
                <w:spacing w:val="-8"/>
                <w:kern w:val="2"/>
                <w:sz w:val="24"/>
                <w:szCs w:val="24"/>
                <w:highlight w:val="none"/>
                <w:lang w:val="en-US" w:eastAsia="zh-CN" w:bidi="ar-SA"/>
              </w:rPr>
              <w:t>25</w:t>
            </w:r>
          </w:p>
        </w:tc>
        <w:tc>
          <w:tcPr>
            <w:tcW w:w="4824" w:type="dxa"/>
            <w:noWrap w:val="0"/>
            <w:vAlign w:val="center"/>
          </w:tcPr>
          <w:p w14:paraId="4D362E06">
            <w:pPr>
              <w:keepNext w:val="0"/>
              <w:keepLines w:val="0"/>
              <w:pageBreakBefore w:val="0"/>
              <w:widowControl w:val="0"/>
              <w:numPr>
                <w:ilvl w:val="0"/>
                <w:numId w:val="0"/>
              </w:numPr>
              <w:kinsoku/>
              <w:wordWrap w:val="0"/>
              <w:overflowPunct w:val="0"/>
              <w:topLinePunct/>
              <w:autoSpaceDE/>
              <w:autoSpaceDN/>
              <w:bidi w:val="0"/>
              <w:adjustRightInd/>
              <w:snapToGrid/>
              <w:spacing w:line="500" w:lineRule="atLeast"/>
              <w:ind w:right="0" w:rightChars="0" w:firstLine="0" w:firstLineChars="0"/>
              <w:jc w:val="left"/>
              <w:textAlignment w:val="center"/>
              <w:rPr>
                <w:rFonts w:hint="eastAsia" w:ascii="仿宋" w:hAnsi="仿宋" w:eastAsia="仿宋" w:cs="仿宋"/>
                <w:b w:val="0"/>
                <w:bCs/>
                <w:i w:val="0"/>
                <w:iCs w:val="0"/>
                <w:color w:val="auto"/>
                <w:kern w:val="2"/>
                <w:sz w:val="24"/>
                <w:szCs w:val="24"/>
                <w:highlight w:val="none"/>
                <w:u w:val="none"/>
                <w:lang w:val="en-US" w:eastAsia="en-US" w:bidi="ar-SA"/>
              </w:rPr>
            </w:pPr>
            <w:r>
              <w:rPr>
                <w:rFonts w:hint="eastAsia" w:ascii="仿宋" w:hAnsi="仿宋" w:eastAsia="仿宋" w:cs="仿宋"/>
                <w:b w:val="0"/>
                <w:bCs/>
                <w:color w:val="auto"/>
                <w:kern w:val="2"/>
                <w:sz w:val="24"/>
                <w:szCs w:val="24"/>
                <w:highlight w:val="none"/>
                <w:lang w:val="en-US" w:eastAsia="en-US" w:bidi="ar-SA"/>
              </w:rPr>
              <w:t>完全符合</w:t>
            </w:r>
            <w:r>
              <w:rPr>
                <w:rFonts w:hint="eastAsia" w:ascii="仿宋" w:hAnsi="仿宋" w:eastAsia="仿宋" w:cs="仿宋"/>
                <w:b w:val="0"/>
                <w:bCs/>
                <w:color w:val="auto"/>
                <w:kern w:val="2"/>
                <w:sz w:val="24"/>
                <w:szCs w:val="24"/>
                <w:highlight w:val="none"/>
                <w:lang w:val="en-US" w:eastAsia="zh-CN" w:bidi="ar-SA"/>
              </w:rPr>
              <w:t>磋商文件</w:t>
            </w:r>
            <w:r>
              <w:rPr>
                <w:rFonts w:hint="eastAsia" w:ascii="仿宋" w:hAnsi="仿宋" w:eastAsia="仿宋" w:cs="仿宋"/>
                <w:b w:val="0"/>
                <w:bCs/>
                <w:color w:val="auto"/>
                <w:kern w:val="2"/>
                <w:sz w:val="24"/>
                <w:szCs w:val="24"/>
                <w:highlight w:val="none"/>
                <w:lang w:val="en-US" w:eastAsia="en-US" w:bidi="ar-SA"/>
              </w:rPr>
              <w:t>的采购清单中“</w:t>
            </w:r>
            <w:r>
              <w:rPr>
                <w:rFonts w:hint="eastAsia" w:ascii="仿宋" w:hAnsi="仿宋" w:eastAsia="仿宋" w:cs="仿宋"/>
                <w:b w:val="0"/>
                <w:bCs/>
                <w:i w:val="0"/>
                <w:iCs w:val="0"/>
                <w:color w:val="auto"/>
                <w:kern w:val="2"/>
                <w:sz w:val="24"/>
                <w:szCs w:val="24"/>
                <w:highlight w:val="none"/>
                <w:u w:val="none"/>
                <w:lang w:val="en-US" w:eastAsia="en-US" w:bidi="ar-SA"/>
              </w:rPr>
              <w:t>技术参数要求</w:t>
            </w:r>
            <w:r>
              <w:rPr>
                <w:rFonts w:hint="eastAsia" w:ascii="仿宋" w:hAnsi="仿宋" w:eastAsia="仿宋" w:cs="仿宋"/>
                <w:b w:val="0"/>
                <w:bCs/>
                <w:color w:val="auto"/>
                <w:spacing w:val="0"/>
                <w:kern w:val="2"/>
                <w:sz w:val="24"/>
                <w:szCs w:val="24"/>
                <w:highlight w:val="none"/>
                <w:lang w:val="en-US" w:eastAsia="en-US" w:bidi="ar-SA"/>
              </w:rPr>
              <w:t>”</w:t>
            </w:r>
            <w:r>
              <w:rPr>
                <w:rFonts w:hint="eastAsia" w:ascii="仿宋" w:hAnsi="仿宋" w:eastAsia="仿宋" w:cs="仿宋"/>
                <w:b w:val="0"/>
                <w:bCs/>
                <w:i w:val="0"/>
                <w:iCs w:val="0"/>
                <w:color w:val="auto"/>
                <w:kern w:val="2"/>
                <w:sz w:val="24"/>
                <w:szCs w:val="24"/>
                <w:highlight w:val="none"/>
                <w:u w:val="none"/>
                <w:lang w:val="en-US" w:eastAsia="en-US" w:bidi="ar-SA"/>
              </w:rPr>
              <w:t>，没有负偏离得</w:t>
            </w:r>
            <w:r>
              <w:rPr>
                <w:rFonts w:hint="eastAsia" w:ascii="仿宋" w:hAnsi="仿宋" w:eastAsia="仿宋" w:cs="仿宋"/>
                <w:b w:val="0"/>
                <w:bCs/>
                <w:i w:val="0"/>
                <w:iCs w:val="0"/>
                <w:color w:val="auto"/>
                <w:kern w:val="2"/>
                <w:sz w:val="24"/>
                <w:szCs w:val="24"/>
                <w:highlight w:val="none"/>
                <w:u w:val="none"/>
                <w:lang w:val="en-US" w:eastAsia="zh-CN" w:bidi="ar-SA"/>
              </w:rPr>
              <w:t>25</w:t>
            </w:r>
            <w:r>
              <w:rPr>
                <w:rFonts w:hint="eastAsia" w:ascii="仿宋" w:hAnsi="仿宋" w:eastAsia="仿宋" w:cs="仿宋"/>
                <w:b w:val="0"/>
                <w:bCs/>
                <w:i w:val="0"/>
                <w:iCs w:val="0"/>
                <w:color w:val="auto"/>
                <w:kern w:val="2"/>
                <w:sz w:val="24"/>
                <w:szCs w:val="24"/>
                <w:highlight w:val="none"/>
                <w:u w:val="none"/>
                <w:lang w:val="en-US" w:eastAsia="en-US" w:bidi="ar-SA"/>
              </w:rPr>
              <w:t>分。</w:t>
            </w:r>
          </w:p>
          <w:p w14:paraId="74F1D288">
            <w:pPr>
              <w:keepNext w:val="0"/>
              <w:keepLines w:val="0"/>
              <w:pageBreakBefore w:val="0"/>
              <w:widowControl w:val="0"/>
              <w:numPr>
                <w:ilvl w:val="0"/>
                <w:numId w:val="0"/>
              </w:numPr>
              <w:kinsoku/>
              <w:wordWrap w:val="0"/>
              <w:overflowPunct w:val="0"/>
              <w:topLinePunct/>
              <w:autoSpaceDE/>
              <w:autoSpaceDN/>
              <w:bidi w:val="0"/>
              <w:adjustRightInd/>
              <w:snapToGrid/>
              <w:spacing w:line="500" w:lineRule="atLeast"/>
              <w:ind w:right="0" w:rightChars="0" w:firstLine="0" w:firstLineChars="0"/>
              <w:jc w:val="left"/>
              <w:textAlignment w:val="center"/>
              <w:rPr>
                <w:rFonts w:hint="eastAsia" w:ascii="仿宋" w:hAnsi="仿宋" w:eastAsia="仿宋" w:cs="仿宋"/>
                <w:b w:val="0"/>
                <w:bCs/>
                <w:color w:val="auto"/>
                <w:sz w:val="24"/>
                <w:szCs w:val="24"/>
                <w:highlight w:val="none"/>
              </w:rPr>
            </w:pPr>
            <w:r>
              <w:rPr>
                <w:rFonts w:hint="eastAsia" w:ascii="仿宋" w:hAnsi="仿宋" w:eastAsia="仿宋" w:cs="仿宋"/>
                <w:b w:val="0"/>
                <w:bCs/>
                <w:color w:val="auto"/>
                <w:sz w:val="24"/>
                <w:szCs w:val="24"/>
                <w:highlight w:val="none"/>
                <w:lang w:val="en-US" w:eastAsia="zh-CN"/>
              </w:rPr>
              <w:t>1.</w:t>
            </w:r>
            <w:r>
              <w:rPr>
                <w:rFonts w:hint="eastAsia" w:ascii="仿宋" w:hAnsi="仿宋" w:eastAsia="仿宋" w:cs="仿宋"/>
                <w:b w:val="0"/>
                <w:bCs/>
                <w:color w:val="auto"/>
                <w:sz w:val="24"/>
                <w:szCs w:val="24"/>
                <w:highlight w:val="none"/>
              </w:rPr>
              <w:t>带“▲”技术参数要求得分=投标人满足带“▲”参数的数量×</w:t>
            </w:r>
            <w:r>
              <w:rPr>
                <w:rFonts w:hint="eastAsia" w:ascii="仿宋" w:hAnsi="仿宋" w:eastAsia="仿宋" w:cs="仿宋"/>
                <w:b w:val="0"/>
                <w:bCs/>
                <w:color w:val="auto"/>
                <w:sz w:val="24"/>
                <w:szCs w:val="24"/>
                <w:highlight w:val="none"/>
                <w:lang w:val="en-US" w:eastAsia="zh-CN"/>
              </w:rPr>
              <w:t>1.62</w:t>
            </w:r>
            <w:r>
              <w:rPr>
                <w:rFonts w:hint="eastAsia" w:ascii="仿宋" w:hAnsi="仿宋" w:eastAsia="仿宋" w:cs="仿宋"/>
                <w:b w:val="0"/>
                <w:bCs/>
                <w:color w:val="auto"/>
                <w:sz w:val="24"/>
                <w:szCs w:val="24"/>
                <w:highlight w:val="none"/>
              </w:rPr>
              <w:t>分。</w:t>
            </w:r>
          </w:p>
          <w:p w14:paraId="7A8B5618">
            <w:pPr>
              <w:keepNext w:val="0"/>
              <w:keepLines w:val="0"/>
              <w:pageBreakBefore w:val="0"/>
              <w:widowControl w:val="0"/>
              <w:numPr>
                <w:ilvl w:val="0"/>
                <w:numId w:val="0"/>
              </w:numPr>
              <w:kinsoku/>
              <w:wordWrap w:val="0"/>
              <w:overflowPunct w:val="0"/>
              <w:topLinePunct/>
              <w:autoSpaceDE/>
              <w:autoSpaceDN/>
              <w:bidi w:val="0"/>
              <w:adjustRightInd/>
              <w:snapToGrid/>
              <w:spacing w:line="500" w:lineRule="atLeast"/>
              <w:ind w:right="0" w:rightChars="0" w:firstLine="0" w:firstLineChars="0"/>
              <w:jc w:val="left"/>
              <w:textAlignment w:val="center"/>
              <w:rPr>
                <w:rFonts w:hint="eastAsia" w:ascii="仿宋" w:hAnsi="仿宋" w:eastAsia="仿宋" w:cs="仿宋"/>
                <w:b w:val="0"/>
                <w:bCs/>
                <w:i w:val="0"/>
                <w:iCs w:val="0"/>
                <w:color w:val="auto"/>
                <w:kern w:val="2"/>
                <w:sz w:val="24"/>
                <w:szCs w:val="24"/>
                <w:highlight w:val="none"/>
                <w:u w:val="none"/>
                <w:lang w:val="en-US" w:eastAsia="zh-CN" w:bidi="ar-SA"/>
              </w:rPr>
            </w:pPr>
            <w:r>
              <w:rPr>
                <w:rFonts w:hint="eastAsia" w:ascii="仿宋" w:hAnsi="仿宋" w:eastAsia="仿宋" w:cs="仿宋"/>
                <w:b w:val="0"/>
                <w:bCs/>
                <w:i w:val="0"/>
                <w:iCs w:val="0"/>
                <w:color w:val="auto"/>
                <w:kern w:val="2"/>
                <w:sz w:val="24"/>
                <w:szCs w:val="24"/>
                <w:highlight w:val="none"/>
                <w:u w:val="none"/>
                <w:lang w:val="en-US" w:eastAsia="zh-CN" w:bidi="ar-SA"/>
              </w:rPr>
              <w:t>2.</w:t>
            </w:r>
            <w:r>
              <w:rPr>
                <w:rFonts w:hint="eastAsia" w:ascii="仿宋" w:hAnsi="仿宋" w:eastAsia="仿宋" w:cs="仿宋"/>
                <w:b w:val="0"/>
                <w:bCs/>
                <w:color w:val="auto"/>
                <w:kern w:val="2"/>
                <w:sz w:val="24"/>
                <w:szCs w:val="24"/>
                <w:highlight w:val="none"/>
                <w:lang w:val="en-US" w:eastAsia="en-US" w:bidi="ar-SA"/>
              </w:rPr>
              <w:t>非带“▲”技术参数要求得分（“★”参数除外）=投标人满足非“▲”参数的数量×</w:t>
            </w:r>
            <w:r>
              <w:rPr>
                <w:rFonts w:hint="eastAsia" w:ascii="仿宋" w:hAnsi="仿宋" w:eastAsia="仿宋" w:cs="仿宋"/>
                <w:b w:val="0"/>
                <w:bCs/>
                <w:color w:val="auto"/>
                <w:kern w:val="2"/>
                <w:sz w:val="24"/>
                <w:szCs w:val="24"/>
                <w:highlight w:val="none"/>
                <w:lang w:val="en-US" w:eastAsia="zh-CN" w:bidi="ar-SA"/>
              </w:rPr>
              <w:t>0.1</w:t>
            </w:r>
            <w:r>
              <w:rPr>
                <w:rFonts w:hint="eastAsia" w:ascii="仿宋" w:hAnsi="仿宋" w:eastAsia="仿宋" w:cs="仿宋"/>
                <w:b w:val="0"/>
                <w:bCs/>
                <w:color w:val="auto"/>
                <w:kern w:val="2"/>
                <w:sz w:val="24"/>
                <w:szCs w:val="24"/>
                <w:highlight w:val="none"/>
                <w:lang w:val="en-US" w:eastAsia="en-US" w:bidi="ar-SA"/>
              </w:rPr>
              <w:t>分。</w:t>
            </w:r>
          </w:p>
          <w:p w14:paraId="1C1A93E6">
            <w:pPr>
              <w:keepNext w:val="0"/>
              <w:keepLines w:val="0"/>
              <w:pageBreakBefore w:val="0"/>
              <w:widowControl w:val="0"/>
              <w:numPr>
                <w:ilvl w:val="0"/>
                <w:numId w:val="0"/>
              </w:numPr>
              <w:kinsoku/>
              <w:wordWrap w:val="0"/>
              <w:overflowPunct w:val="0"/>
              <w:topLinePunct/>
              <w:autoSpaceDE/>
              <w:autoSpaceDN/>
              <w:bidi w:val="0"/>
              <w:adjustRightInd/>
              <w:snapToGrid/>
              <w:spacing w:line="500" w:lineRule="atLeast"/>
              <w:ind w:right="0" w:rightChars="0" w:firstLine="0" w:firstLineChars="0"/>
              <w:jc w:val="left"/>
              <w:textAlignment w:val="center"/>
              <w:rPr>
                <w:rFonts w:hint="eastAsia" w:ascii="仿宋" w:hAnsi="仿宋" w:eastAsia="仿宋" w:cs="仿宋"/>
                <w:b w:val="0"/>
                <w:bCs/>
                <w:color w:val="auto"/>
                <w:kern w:val="2"/>
                <w:sz w:val="24"/>
                <w:szCs w:val="24"/>
                <w:highlight w:val="none"/>
                <w:lang w:val="en-US" w:eastAsia="zh-CN" w:bidi="ar-SA"/>
              </w:rPr>
            </w:pPr>
          </w:p>
          <w:p w14:paraId="4674B037">
            <w:pPr>
              <w:keepNext w:val="0"/>
              <w:keepLines w:val="0"/>
              <w:pageBreakBefore w:val="0"/>
              <w:widowControl w:val="0"/>
              <w:numPr>
                <w:ilvl w:val="0"/>
                <w:numId w:val="0"/>
              </w:numPr>
              <w:kinsoku/>
              <w:wordWrap w:val="0"/>
              <w:overflowPunct w:val="0"/>
              <w:topLinePunct/>
              <w:autoSpaceDE/>
              <w:autoSpaceDN/>
              <w:bidi w:val="0"/>
              <w:adjustRightInd/>
              <w:snapToGrid/>
              <w:spacing w:line="500" w:lineRule="atLeast"/>
              <w:ind w:right="0" w:rightChars="0" w:firstLine="0" w:firstLineChars="0"/>
              <w:jc w:val="left"/>
              <w:textAlignment w:val="center"/>
              <w:rPr>
                <w:rFonts w:hint="eastAsia" w:ascii="仿宋" w:hAnsi="仿宋" w:eastAsia="仿宋" w:cs="仿宋"/>
                <w:b w:val="0"/>
                <w:bCs/>
                <w:color w:val="auto"/>
                <w:kern w:val="2"/>
                <w:sz w:val="24"/>
                <w:szCs w:val="24"/>
                <w:highlight w:val="none"/>
                <w:lang w:val="en-US" w:eastAsia="en-US" w:bidi="ar-SA"/>
              </w:rPr>
            </w:pPr>
            <w:r>
              <w:rPr>
                <w:rFonts w:hint="eastAsia" w:ascii="仿宋" w:hAnsi="仿宋" w:eastAsia="仿宋" w:cs="仿宋"/>
                <w:b w:val="0"/>
                <w:bCs/>
                <w:color w:val="auto"/>
                <w:kern w:val="2"/>
                <w:sz w:val="24"/>
                <w:szCs w:val="24"/>
                <w:highlight w:val="none"/>
                <w:lang w:val="en-US" w:eastAsia="zh-CN" w:bidi="ar-SA"/>
              </w:rPr>
              <w:t>注：1.</w:t>
            </w:r>
            <w:r>
              <w:rPr>
                <w:rFonts w:hint="eastAsia" w:ascii="仿宋" w:hAnsi="仿宋" w:eastAsia="仿宋" w:cs="仿宋"/>
                <w:b w:val="0"/>
                <w:bCs/>
                <w:color w:val="auto"/>
                <w:kern w:val="2"/>
                <w:sz w:val="24"/>
                <w:szCs w:val="24"/>
                <w:highlight w:val="none"/>
                <w:lang w:val="en-US" w:eastAsia="en-US" w:bidi="ar-SA"/>
              </w:rPr>
              <w:t>带“▲”的重要技术参数要求需提供国家认可的第三方检测机构出具的检测报告佐证材料，如无佐证材料的，不予认定。（具体技术参数中有明确的证明材料要求的以具体技术参数中的要求为准）。</w:t>
            </w:r>
          </w:p>
          <w:p w14:paraId="1DA2154A">
            <w:pPr>
              <w:keepNext w:val="0"/>
              <w:keepLines w:val="0"/>
              <w:pageBreakBefore w:val="0"/>
              <w:widowControl w:val="0"/>
              <w:numPr>
                <w:ilvl w:val="0"/>
                <w:numId w:val="0"/>
              </w:numPr>
              <w:kinsoku/>
              <w:wordWrap w:val="0"/>
              <w:overflowPunct w:val="0"/>
              <w:topLinePunct/>
              <w:autoSpaceDE/>
              <w:autoSpaceDN/>
              <w:bidi w:val="0"/>
              <w:adjustRightInd/>
              <w:snapToGrid/>
              <w:spacing w:line="500" w:lineRule="atLeast"/>
              <w:ind w:right="0" w:rightChars="0" w:firstLine="0" w:firstLineChars="0"/>
              <w:jc w:val="left"/>
              <w:textAlignment w:val="center"/>
              <w:rPr>
                <w:rFonts w:hint="eastAsia" w:ascii="仿宋" w:hAnsi="仿宋" w:eastAsia="仿宋" w:cs="仿宋"/>
                <w:b/>
                <w:color w:val="auto"/>
                <w:sz w:val="24"/>
                <w:szCs w:val="24"/>
                <w:highlight w:val="none"/>
                <w:lang w:val="en-US" w:eastAsia="zh-CN"/>
              </w:rPr>
            </w:pPr>
            <w:r>
              <w:rPr>
                <w:rFonts w:hint="eastAsia" w:ascii="仿宋" w:hAnsi="仿宋" w:eastAsia="仿宋" w:cs="仿宋"/>
                <w:b w:val="0"/>
                <w:bCs/>
                <w:color w:val="auto"/>
                <w:kern w:val="2"/>
                <w:sz w:val="24"/>
                <w:szCs w:val="24"/>
                <w:highlight w:val="none"/>
                <w:lang w:val="en-US" w:eastAsia="zh-CN" w:bidi="ar-SA"/>
              </w:rPr>
              <w:t>2..</w:t>
            </w:r>
            <w:r>
              <w:rPr>
                <w:rFonts w:hint="eastAsia" w:ascii="仿宋" w:hAnsi="仿宋" w:eastAsia="仿宋" w:cs="仿宋"/>
                <w:b w:val="0"/>
                <w:bCs/>
                <w:color w:val="auto"/>
                <w:kern w:val="2"/>
                <w:sz w:val="24"/>
                <w:szCs w:val="24"/>
                <w:highlight w:val="none"/>
                <w:lang w:val="en-US" w:eastAsia="en-US" w:bidi="ar-SA"/>
              </w:rPr>
              <w:t>带“★”实质性要求除外，带“▲”技术参数要求共</w:t>
            </w:r>
            <w:r>
              <w:rPr>
                <w:rFonts w:hint="eastAsia" w:ascii="仿宋" w:hAnsi="仿宋" w:eastAsia="仿宋" w:cs="仿宋"/>
                <w:b w:val="0"/>
                <w:bCs/>
                <w:color w:val="auto"/>
                <w:kern w:val="2"/>
                <w:sz w:val="24"/>
                <w:szCs w:val="24"/>
                <w:highlight w:val="none"/>
                <w:lang w:val="en-US" w:eastAsia="zh-CN" w:bidi="ar-SA"/>
              </w:rPr>
              <w:t>5</w:t>
            </w:r>
            <w:r>
              <w:rPr>
                <w:rFonts w:hint="eastAsia" w:ascii="仿宋" w:hAnsi="仿宋" w:eastAsia="仿宋" w:cs="仿宋"/>
                <w:b w:val="0"/>
                <w:bCs/>
                <w:color w:val="auto"/>
                <w:kern w:val="2"/>
                <w:sz w:val="24"/>
                <w:szCs w:val="24"/>
                <w:highlight w:val="none"/>
                <w:lang w:val="en-US" w:eastAsia="en-US" w:bidi="ar-SA"/>
              </w:rPr>
              <w:t>条，非带“▲”技术参数要求共</w:t>
            </w:r>
            <w:r>
              <w:rPr>
                <w:rFonts w:hint="eastAsia" w:ascii="仿宋" w:hAnsi="仿宋" w:eastAsia="仿宋" w:cs="仿宋"/>
                <w:b w:val="0"/>
                <w:bCs/>
                <w:color w:val="auto"/>
                <w:kern w:val="2"/>
                <w:sz w:val="24"/>
                <w:szCs w:val="24"/>
                <w:highlight w:val="none"/>
                <w:lang w:val="en-US" w:eastAsia="zh-CN" w:bidi="ar-SA"/>
              </w:rPr>
              <w:t>169</w:t>
            </w:r>
            <w:r>
              <w:rPr>
                <w:rFonts w:hint="eastAsia" w:ascii="仿宋" w:hAnsi="仿宋" w:eastAsia="仿宋" w:cs="仿宋"/>
                <w:b w:val="0"/>
                <w:bCs/>
                <w:color w:val="auto"/>
                <w:kern w:val="2"/>
                <w:sz w:val="24"/>
                <w:szCs w:val="24"/>
                <w:highlight w:val="none"/>
                <w:lang w:val="en-US" w:eastAsia="en-US" w:bidi="ar-SA"/>
              </w:rPr>
              <w:t>条。</w:t>
            </w:r>
          </w:p>
        </w:tc>
        <w:tc>
          <w:tcPr>
            <w:tcW w:w="786" w:type="dxa"/>
            <w:noWrap w:val="0"/>
            <w:vAlign w:val="center"/>
          </w:tcPr>
          <w:p w14:paraId="2430BFC9">
            <w:pPr>
              <w:keepNext w:val="0"/>
              <w:keepLines w:val="0"/>
              <w:pageBreakBefore w:val="0"/>
              <w:widowControl w:val="0"/>
              <w:kinsoku/>
              <w:wordWrap w:val="0"/>
              <w:overflowPunct w:val="0"/>
              <w:topLinePunct/>
              <w:autoSpaceDE/>
              <w:autoSpaceDN/>
              <w:bidi w:val="0"/>
              <w:adjustRightInd/>
              <w:snapToGrid/>
              <w:spacing w:line="500" w:lineRule="atLeast"/>
              <w:ind w:right="0" w:rightChars="0" w:firstLine="0" w:firstLineChars="0"/>
              <w:jc w:val="center"/>
              <w:textAlignment w:val="center"/>
              <w:rPr>
                <w:rFonts w:hint="eastAsia" w:ascii="仿宋" w:hAnsi="仿宋" w:eastAsia="仿宋" w:cs="仿宋"/>
                <w:b/>
                <w:bCs/>
                <w:color w:val="auto"/>
                <w:sz w:val="24"/>
                <w:szCs w:val="24"/>
                <w:highlight w:val="none"/>
                <w:lang w:val="en-US" w:eastAsia="zh-CN"/>
              </w:rPr>
            </w:pPr>
            <w:r>
              <w:rPr>
                <w:rFonts w:hint="eastAsia" w:ascii="仿宋" w:hAnsi="仿宋" w:eastAsia="仿宋" w:cs="仿宋"/>
                <w:b/>
                <w:bCs/>
                <w:color w:val="auto"/>
                <w:sz w:val="24"/>
                <w:szCs w:val="24"/>
                <w:highlight w:val="none"/>
                <w:lang w:val="en-US" w:eastAsia="zh-CN"/>
              </w:rPr>
              <w:t>客观</w:t>
            </w:r>
          </w:p>
        </w:tc>
      </w:tr>
      <w:tr w14:paraId="3E2C01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8" w:type="dxa"/>
            <w:noWrap w:val="0"/>
            <w:vAlign w:val="center"/>
          </w:tcPr>
          <w:p w14:paraId="42F84A10">
            <w:pPr>
              <w:keepNext w:val="0"/>
              <w:keepLines w:val="0"/>
              <w:pageBreakBefore w:val="0"/>
              <w:widowControl w:val="0"/>
              <w:kinsoku/>
              <w:wordWrap w:val="0"/>
              <w:overflowPunct w:val="0"/>
              <w:topLinePunct/>
              <w:autoSpaceDE/>
              <w:autoSpaceDN/>
              <w:bidi w:val="0"/>
              <w:adjustRightInd/>
              <w:snapToGrid/>
              <w:spacing w:line="500" w:lineRule="atLeast"/>
              <w:ind w:right="0" w:rightChars="0" w:firstLine="0" w:firstLineChars="0"/>
              <w:jc w:val="center"/>
              <w:textAlignment w:val="center"/>
              <w:rPr>
                <w:rFonts w:hint="eastAsia" w:ascii="仿宋" w:hAnsi="仿宋" w:eastAsia="仿宋" w:cs="仿宋"/>
                <w:b/>
                <w:color w:val="auto"/>
                <w:sz w:val="24"/>
                <w:szCs w:val="24"/>
                <w:highlight w:val="none"/>
                <w:lang w:val="en-US" w:eastAsia="zh-CN"/>
              </w:rPr>
            </w:pPr>
            <w:r>
              <w:rPr>
                <w:rFonts w:hint="eastAsia" w:ascii="仿宋" w:hAnsi="仿宋" w:eastAsia="仿宋" w:cs="仿宋"/>
                <w:b/>
                <w:color w:val="auto"/>
                <w:sz w:val="24"/>
                <w:szCs w:val="24"/>
                <w:highlight w:val="none"/>
                <w:lang w:val="en-US" w:eastAsia="zh-CN"/>
              </w:rPr>
              <w:t>3</w:t>
            </w:r>
          </w:p>
        </w:tc>
        <w:tc>
          <w:tcPr>
            <w:tcW w:w="1500" w:type="dxa"/>
            <w:noWrap w:val="0"/>
            <w:vAlign w:val="center"/>
          </w:tcPr>
          <w:p w14:paraId="7C75A1C0">
            <w:pPr>
              <w:keepNext w:val="0"/>
              <w:keepLines w:val="0"/>
              <w:pageBreakBefore w:val="0"/>
              <w:widowControl w:val="0"/>
              <w:kinsoku/>
              <w:wordWrap w:val="0"/>
              <w:overflowPunct w:val="0"/>
              <w:topLinePunct/>
              <w:autoSpaceDE/>
              <w:autoSpaceDN/>
              <w:bidi w:val="0"/>
              <w:adjustRightInd/>
              <w:snapToGrid/>
              <w:spacing w:line="500" w:lineRule="atLeast"/>
              <w:ind w:right="0" w:rightChars="0" w:firstLine="0" w:firstLineChars="0"/>
              <w:jc w:val="center"/>
              <w:textAlignment w:val="center"/>
              <w:rPr>
                <w:rFonts w:hint="eastAsia" w:ascii="仿宋" w:hAnsi="仿宋" w:eastAsia="仿宋" w:cs="仿宋"/>
                <w:b/>
                <w:color w:val="auto"/>
                <w:sz w:val="24"/>
                <w:szCs w:val="24"/>
                <w:highlight w:val="none"/>
              </w:rPr>
            </w:pPr>
            <w:r>
              <w:rPr>
                <w:rFonts w:hint="eastAsia" w:ascii="仿宋" w:hAnsi="仿宋" w:eastAsia="仿宋" w:cs="仿宋"/>
                <w:spacing w:val="-8"/>
                <w:kern w:val="2"/>
                <w:sz w:val="24"/>
                <w:szCs w:val="24"/>
                <w:highlight w:val="none"/>
                <w:lang w:val="en-US" w:eastAsia="en-US" w:bidi="ar-SA"/>
              </w:rPr>
              <w:t>业绩</w:t>
            </w:r>
            <w:r>
              <w:rPr>
                <w:rFonts w:hint="eastAsia" w:ascii="仿宋" w:hAnsi="仿宋" w:eastAsia="仿宋" w:cs="仿宋"/>
                <w:spacing w:val="-8"/>
                <w:kern w:val="2"/>
                <w:sz w:val="24"/>
                <w:szCs w:val="24"/>
                <w:highlight w:val="none"/>
                <w:lang w:val="en-US" w:eastAsia="zh-CN" w:bidi="ar-SA"/>
              </w:rPr>
              <w:t>9</w:t>
            </w:r>
            <w:r>
              <w:rPr>
                <w:rFonts w:hint="eastAsia" w:ascii="仿宋" w:hAnsi="仿宋" w:eastAsia="仿宋" w:cs="仿宋"/>
                <w:spacing w:val="-8"/>
                <w:kern w:val="2"/>
                <w:sz w:val="24"/>
                <w:szCs w:val="24"/>
                <w:highlight w:val="none"/>
                <w:lang w:val="en-US" w:eastAsia="en-US" w:bidi="ar-SA"/>
              </w:rPr>
              <w:t>%</w:t>
            </w:r>
          </w:p>
        </w:tc>
        <w:tc>
          <w:tcPr>
            <w:tcW w:w="744" w:type="dxa"/>
            <w:noWrap w:val="0"/>
            <w:vAlign w:val="center"/>
          </w:tcPr>
          <w:p w14:paraId="0ECEF647">
            <w:pPr>
              <w:keepNext w:val="0"/>
              <w:keepLines w:val="0"/>
              <w:pageBreakBefore w:val="0"/>
              <w:widowControl w:val="0"/>
              <w:kinsoku/>
              <w:wordWrap w:val="0"/>
              <w:overflowPunct w:val="0"/>
              <w:topLinePunct/>
              <w:autoSpaceDE/>
              <w:autoSpaceDN/>
              <w:bidi w:val="0"/>
              <w:adjustRightInd/>
              <w:snapToGrid/>
              <w:spacing w:line="500" w:lineRule="atLeast"/>
              <w:ind w:right="0" w:rightChars="0" w:firstLine="0" w:firstLineChars="0"/>
              <w:jc w:val="center"/>
              <w:textAlignment w:val="center"/>
              <w:rPr>
                <w:rFonts w:hint="eastAsia" w:ascii="仿宋" w:hAnsi="仿宋" w:eastAsia="仿宋" w:cs="仿宋"/>
                <w:b/>
                <w:color w:val="auto"/>
                <w:sz w:val="24"/>
                <w:szCs w:val="24"/>
                <w:highlight w:val="none"/>
                <w:lang w:val="en-US" w:eastAsia="zh-CN"/>
              </w:rPr>
            </w:pPr>
            <w:r>
              <w:rPr>
                <w:rFonts w:hint="eastAsia" w:ascii="仿宋" w:hAnsi="仿宋" w:eastAsia="仿宋" w:cs="仿宋"/>
                <w:b w:val="0"/>
                <w:color w:val="auto"/>
                <w:spacing w:val="-8"/>
                <w:sz w:val="24"/>
                <w:szCs w:val="24"/>
                <w:highlight w:val="none"/>
                <w:lang w:val="en-US" w:eastAsia="zh-CN"/>
              </w:rPr>
              <w:t>9分</w:t>
            </w:r>
          </w:p>
        </w:tc>
        <w:tc>
          <w:tcPr>
            <w:tcW w:w="4824" w:type="dxa"/>
            <w:noWrap w:val="0"/>
            <w:vAlign w:val="center"/>
          </w:tcPr>
          <w:p w14:paraId="0E9314D3">
            <w:pPr>
              <w:keepNext w:val="0"/>
              <w:keepLines w:val="0"/>
              <w:pageBreakBefore w:val="0"/>
              <w:widowControl w:val="0"/>
              <w:kinsoku/>
              <w:wordWrap w:val="0"/>
              <w:overflowPunct w:val="0"/>
              <w:topLinePunct/>
              <w:autoSpaceDE/>
              <w:autoSpaceDN/>
              <w:bidi w:val="0"/>
              <w:adjustRightInd/>
              <w:snapToGrid/>
              <w:spacing w:line="500" w:lineRule="atLeast"/>
              <w:ind w:right="0" w:rightChars="0" w:firstLine="0" w:firstLineChars="0"/>
              <w:jc w:val="left"/>
              <w:textAlignment w:val="center"/>
              <w:rPr>
                <w:rFonts w:hint="eastAsia" w:ascii="仿宋" w:hAnsi="仿宋" w:eastAsia="仿宋" w:cs="仿宋"/>
                <w:b w:val="0"/>
                <w:bCs/>
                <w:color w:val="auto"/>
                <w:sz w:val="24"/>
                <w:szCs w:val="24"/>
                <w:highlight w:val="none"/>
                <w:lang w:val="en-US" w:eastAsia="en-US"/>
              </w:rPr>
            </w:pPr>
            <w:r>
              <w:rPr>
                <w:rFonts w:hint="eastAsia" w:ascii="仿宋" w:hAnsi="仿宋" w:eastAsia="仿宋" w:cs="仿宋"/>
                <w:b w:val="0"/>
                <w:bCs/>
                <w:color w:val="auto"/>
                <w:sz w:val="24"/>
                <w:szCs w:val="24"/>
                <w:highlight w:val="none"/>
                <w:lang w:val="en-US" w:eastAsia="en-US"/>
              </w:rPr>
              <w:t>根据供应商2023年1月1日（含1日）</w:t>
            </w:r>
            <w:r>
              <w:rPr>
                <w:rFonts w:hint="eastAsia" w:ascii="仿宋" w:hAnsi="仿宋" w:eastAsia="仿宋" w:cs="仿宋"/>
                <w:b w:val="0"/>
                <w:bCs/>
                <w:color w:val="auto"/>
                <w:kern w:val="2"/>
                <w:sz w:val="24"/>
                <w:szCs w:val="24"/>
                <w:highlight w:val="none"/>
                <w:lang w:eastAsia="en-US"/>
              </w:rPr>
              <w:t>至提交</w:t>
            </w:r>
            <w:r>
              <w:rPr>
                <w:rFonts w:hint="eastAsia" w:ascii="仿宋" w:hAnsi="仿宋" w:eastAsia="仿宋" w:cs="仿宋"/>
                <w:b w:val="0"/>
                <w:bCs/>
                <w:color w:val="auto"/>
                <w:kern w:val="2"/>
                <w:sz w:val="24"/>
                <w:szCs w:val="24"/>
                <w:highlight w:val="none"/>
                <w:lang w:eastAsia="zh-CN"/>
              </w:rPr>
              <w:t>响应文件</w:t>
            </w:r>
            <w:r>
              <w:rPr>
                <w:rFonts w:hint="eastAsia" w:ascii="仿宋" w:hAnsi="仿宋" w:eastAsia="仿宋" w:cs="仿宋"/>
                <w:b w:val="0"/>
                <w:bCs/>
                <w:color w:val="auto"/>
                <w:kern w:val="2"/>
                <w:sz w:val="24"/>
                <w:szCs w:val="24"/>
                <w:highlight w:val="none"/>
                <w:lang w:eastAsia="en-US"/>
              </w:rPr>
              <w:t>截止日</w:t>
            </w:r>
            <w:r>
              <w:rPr>
                <w:rFonts w:hint="eastAsia" w:ascii="仿宋" w:hAnsi="仿宋" w:eastAsia="仿宋" w:cs="仿宋"/>
                <w:b w:val="0"/>
                <w:bCs/>
                <w:color w:val="auto"/>
                <w:sz w:val="24"/>
                <w:szCs w:val="24"/>
                <w:highlight w:val="none"/>
                <w:lang w:val="en-US" w:eastAsia="en-US"/>
              </w:rPr>
              <w:t>的类似项目业绩进行评审。每提供1个得</w:t>
            </w:r>
            <w:r>
              <w:rPr>
                <w:rFonts w:hint="eastAsia" w:ascii="仿宋" w:hAnsi="仿宋" w:eastAsia="仿宋" w:cs="仿宋"/>
                <w:b w:val="0"/>
                <w:bCs/>
                <w:color w:val="auto"/>
                <w:sz w:val="24"/>
                <w:szCs w:val="24"/>
                <w:highlight w:val="none"/>
                <w:lang w:val="en-US" w:eastAsia="zh-CN"/>
              </w:rPr>
              <w:t>3</w:t>
            </w:r>
            <w:r>
              <w:rPr>
                <w:rFonts w:hint="eastAsia" w:ascii="仿宋" w:hAnsi="仿宋" w:eastAsia="仿宋" w:cs="仿宋"/>
                <w:b w:val="0"/>
                <w:bCs/>
                <w:color w:val="auto"/>
                <w:sz w:val="24"/>
                <w:szCs w:val="24"/>
                <w:highlight w:val="none"/>
                <w:lang w:val="en-US" w:eastAsia="en-US"/>
              </w:rPr>
              <w:t>分，最多得</w:t>
            </w:r>
            <w:r>
              <w:rPr>
                <w:rFonts w:hint="eastAsia" w:ascii="仿宋" w:hAnsi="仿宋" w:eastAsia="仿宋" w:cs="仿宋"/>
                <w:b w:val="0"/>
                <w:bCs/>
                <w:color w:val="auto"/>
                <w:sz w:val="24"/>
                <w:szCs w:val="24"/>
                <w:highlight w:val="none"/>
                <w:lang w:val="en-US" w:eastAsia="zh-CN"/>
              </w:rPr>
              <w:t>9</w:t>
            </w:r>
            <w:r>
              <w:rPr>
                <w:rFonts w:hint="eastAsia" w:ascii="仿宋" w:hAnsi="仿宋" w:eastAsia="仿宋" w:cs="仿宋"/>
                <w:b w:val="0"/>
                <w:bCs/>
                <w:color w:val="auto"/>
                <w:sz w:val="24"/>
                <w:szCs w:val="24"/>
                <w:highlight w:val="none"/>
                <w:lang w:val="en-US" w:eastAsia="en-US"/>
              </w:rPr>
              <w:t>分。</w:t>
            </w:r>
          </w:p>
          <w:p w14:paraId="59607662">
            <w:pPr>
              <w:keepNext w:val="0"/>
              <w:keepLines w:val="0"/>
              <w:pageBreakBefore w:val="0"/>
              <w:widowControl w:val="0"/>
              <w:kinsoku/>
              <w:wordWrap w:val="0"/>
              <w:overflowPunct w:val="0"/>
              <w:topLinePunct/>
              <w:autoSpaceDE/>
              <w:autoSpaceDN/>
              <w:bidi w:val="0"/>
              <w:adjustRightInd/>
              <w:snapToGrid/>
              <w:spacing w:line="500" w:lineRule="atLeast"/>
              <w:ind w:right="0" w:rightChars="0" w:firstLine="0" w:firstLineChars="0"/>
              <w:jc w:val="left"/>
              <w:textAlignment w:val="center"/>
              <w:rPr>
                <w:rFonts w:hint="eastAsia" w:ascii="仿宋" w:hAnsi="仿宋" w:eastAsia="仿宋" w:cs="仿宋"/>
                <w:b/>
                <w:color w:val="auto"/>
                <w:sz w:val="24"/>
                <w:szCs w:val="24"/>
                <w:highlight w:val="none"/>
              </w:rPr>
            </w:pPr>
            <w:r>
              <w:rPr>
                <w:rFonts w:hint="eastAsia" w:ascii="仿宋" w:hAnsi="仿宋" w:eastAsia="仿宋" w:cs="仿宋"/>
                <w:b w:val="0"/>
                <w:bCs/>
                <w:color w:val="auto"/>
                <w:sz w:val="24"/>
                <w:szCs w:val="24"/>
                <w:highlight w:val="none"/>
                <w:lang w:val="en-US" w:eastAsia="en-US"/>
              </w:rPr>
              <w:t>说明：类似业绩须提</w:t>
            </w:r>
            <w:r>
              <w:rPr>
                <w:rFonts w:hint="eastAsia" w:ascii="仿宋" w:hAnsi="仿宋" w:eastAsia="仿宋" w:cs="仿宋"/>
                <w:b w:val="0"/>
                <w:bCs/>
                <w:color w:val="auto"/>
                <w:sz w:val="24"/>
                <w:szCs w:val="24"/>
                <w:highlight w:val="none"/>
                <w:lang w:val="en-US" w:eastAsia="zh-CN"/>
              </w:rPr>
              <w:t>供</w:t>
            </w:r>
            <w:r>
              <w:rPr>
                <w:rFonts w:hint="eastAsia" w:ascii="仿宋" w:hAnsi="仿宋" w:eastAsia="仿宋" w:cs="仿宋"/>
                <w:b w:val="0"/>
                <w:bCs/>
                <w:color w:val="auto"/>
                <w:sz w:val="24"/>
                <w:szCs w:val="24"/>
                <w:highlight w:val="none"/>
                <w:lang w:val="en-US" w:eastAsia="en-US"/>
              </w:rPr>
              <w:t>合同（协议）</w:t>
            </w:r>
            <w:r>
              <w:rPr>
                <w:rFonts w:hint="eastAsia" w:ascii="仿宋" w:hAnsi="仿宋" w:eastAsia="仿宋" w:cs="仿宋"/>
                <w:b w:val="0"/>
                <w:bCs/>
                <w:color w:val="auto"/>
                <w:sz w:val="24"/>
                <w:szCs w:val="24"/>
                <w:highlight w:val="none"/>
                <w:lang w:eastAsia="en-US"/>
              </w:rPr>
              <w:t>或中标（成交）通知书复印件，以合同</w:t>
            </w:r>
            <w:r>
              <w:rPr>
                <w:rFonts w:hint="eastAsia" w:ascii="仿宋" w:hAnsi="仿宋" w:eastAsia="仿宋" w:cs="仿宋"/>
                <w:b w:val="0"/>
                <w:bCs/>
                <w:color w:val="auto"/>
                <w:sz w:val="24"/>
                <w:szCs w:val="24"/>
                <w:highlight w:val="none"/>
                <w:lang w:eastAsia="zh-CN"/>
              </w:rPr>
              <w:t>（</w:t>
            </w:r>
            <w:r>
              <w:rPr>
                <w:rFonts w:hint="eastAsia" w:ascii="仿宋" w:hAnsi="仿宋" w:eastAsia="仿宋" w:cs="仿宋"/>
                <w:b w:val="0"/>
                <w:bCs/>
                <w:color w:val="auto"/>
                <w:sz w:val="24"/>
                <w:szCs w:val="24"/>
                <w:highlight w:val="none"/>
                <w:lang w:val="en-US" w:eastAsia="zh-CN"/>
              </w:rPr>
              <w:t>协议</w:t>
            </w:r>
            <w:r>
              <w:rPr>
                <w:rFonts w:hint="eastAsia" w:ascii="仿宋" w:hAnsi="仿宋" w:eastAsia="仿宋" w:cs="仿宋"/>
                <w:b w:val="0"/>
                <w:bCs/>
                <w:color w:val="auto"/>
                <w:sz w:val="24"/>
                <w:szCs w:val="24"/>
                <w:highlight w:val="none"/>
                <w:lang w:eastAsia="zh-CN"/>
              </w:rPr>
              <w:t>）</w:t>
            </w:r>
            <w:r>
              <w:rPr>
                <w:rFonts w:hint="eastAsia" w:ascii="仿宋" w:hAnsi="仿宋" w:eastAsia="仿宋" w:cs="仿宋"/>
                <w:b w:val="0"/>
                <w:bCs/>
                <w:color w:val="auto"/>
                <w:sz w:val="24"/>
                <w:szCs w:val="24"/>
                <w:highlight w:val="none"/>
                <w:lang w:eastAsia="en-US"/>
              </w:rPr>
              <w:t>签订时间或中标（成交）通知书发出之日为准。同时提供合同和中标（成交）通知书的，以合同签订时间为准。</w:t>
            </w:r>
            <w:r>
              <w:rPr>
                <w:rFonts w:hint="eastAsia" w:ascii="仿宋" w:hAnsi="仿宋" w:eastAsia="仿宋" w:cs="仿宋"/>
                <w:b w:val="0"/>
                <w:bCs/>
                <w:color w:val="auto"/>
                <w:sz w:val="24"/>
                <w:szCs w:val="24"/>
                <w:highlight w:val="none"/>
                <w:lang w:val="en-US" w:eastAsia="en-US"/>
              </w:rPr>
              <w:t>（复印件加盖单位公章），不提供的不得分</w:t>
            </w:r>
            <w:r>
              <w:rPr>
                <w:rFonts w:hint="eastAsia" w:ascii="仿宋" w:hAnsi="仿宋" w:eastAsia="仿宋" w:cs="仿宋"/>
                <w:b w:val="0"/>
                <w:bCs/>
                <w:color w:val="auto"/>
                <w:sz w:val="24"/>
                <w:szCs w:val="24"/>
                <w:highlight w:val="none"/>
                <w:lang w:val="en-US" w:eastAsia="zh-CN"/>
              </w:rPr>
              <w:t>。</w:t>
            </w:r>
          </w:p>
        </w:tc>
        <w:tc>
          <w:tcPr>
            <w:tcW w:w="786" w:type="dxa"/>
            <w:noWrap w:val="0"/>
            <w:vAlign w:val="center"/>
          </w:tcPr>
          <w:p w14:paraId="00437417">
            <w:pPr>
              <w:keepNext w:val="0"/>
              <w:keepLines w:val="0"/>
              <w:pageBreakBefore w:val="0"/>
              <w:widowControl w:val="0"/>
              <w:kinsoku/>
              <w:wordWrap w:val="0"/>
              <w:overflowPunct w:val="0"/>
              <w:topLinePunct/>
              <w:autoSpaceDE/>
              <w:autoSpaceDN/>
              <w:bidi w:val="0"/>
              <w:adjustRightInd/>
              <w:snapToGrid/>
              <w:spacing w:line="500" w:lineRule="atLeast"/>
              <w:ind w:right="0" w:rightChars="0" w:firstLine="0" w:firstLineChars="0"/>
              <w:jc w:val="center"/>
              <w:textAlignment w:val="center"/>
              <w:rPr>
                <w:rFonts w:hint="eastAsia" w:ascii="仿宋" w:hAnsi="仿宋" w:eastAsia="仿宋" w:cs="仿宋"/>
                <w:b/>
                <w:bCs/>
                <w:color w:val="auto"/>
                <w:sz w:val="24"/>
                <w:szCs w:val="24"/>
                <w:highlight w:val="none"/>
                <w:lang w:val="en-US" w:eastAsia="zh-CN"/>
              </w:rPr>
            </w:pPr>
            <w:r>
              <w:rPr>
                <w:rFonts w:hint="eastAsia" w:ascii="仿宋" w:hAnsi="仿宋" w:eastAsia="仿宋" w:cs="仿宋"/>
                <w:b/>
                <w:bCs/>
                <w:color w:val="auto"/>
                <w:sz w:val="24"/>
                <w:szCs w:val="24"/>
                <w:highlight w:val="none"/>
                <w:lang w:val="en-US" w:eastAsia="zh-CN"/>
              </w:rPr>
              <w:t>客观</w:t>
            </w:r>
          </w:p>
        </w:tc>
      </w:tr>
      <w:tr w14:paraId="76BFFD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8" w:type="dxa"/>
            <w:noWrap w:val="0"/>
            <w:vAlign w:val="center"/>
          </w:tcPr>
          <w:p w14:paraId="58974474">
            <w:pPr>
              <w:keepNext w:val="0"/>
              <w:keepLines w:val="0"/>
              <w:pageBreakBefore w:val="0"/>
              <w:widowControl w:val="0"/>
              <w:kinsoku/>
              <w:wordWrap w:val="0"/>
              <w:overflowPunct w:val="0"/>
              <w:topLinePunct/>
              <w:autoSpaceDE/>
              <w:autoSpaceDN/>
              <w:bidi w:val="0"/>
              <w:adjustRightInd/>
              <w:snapToGrid/>
              <w:spacing w:line="500" w:lineRule="atLeast"/>
              <w:ind w:right="0" w:rightChars="0" w:firstLine="0" w:firstLineChars="0"/>
              <w:jc w:val="center"/>
              <w:textAlignment w:val="center"/>
              <w:rPr>
                <w:rFonts w:hint="eastAsia" w:ascii="仿宋" w:hAnsi="仿宋" w:eastAsia="仿宋" w:cs="仿宋"/>
                <w:b/>
                <w:color w:val="auto"/>
                <w:sz w:val="24"/>
                <w:szCs w:val="24"/>
                <w:highlight w:val="none"/>
                <w:lang w:val="en-US" w:eastAsia="zh-CN"/>
              </w:rPr>
            </w:pPr>
            <w:r>
              <w:rPr>
                <w:rFonts w:hint="eastAsia" w:ascii="仿宋" w:hAnsi="仿宋" w:eastAsia="仿宋" w:cs="仿宋"/>
                <w:b/>
                <w:color w:val="auto"/>
                <w:sz w:val="24"/>
                <w:szCs w:val="24"/>
                <w:highlight w:val="none"/>
                <w:lang w:val="en-US" w:eastAsia="zh-CN"/>
              </w:rPr>
              <w:t>4</w:t>
            </w:r>
          </w:p>
        </w:tc>
        <w:tc>
          <w:tcPr>
            <w:tcW w:w="1500" w:type="dxa"/>
            <w:noWrap w:val="0"/>
            <w:vAlign w:val="center"/>
          </w:tcPr>
          <w:p w14:paraId="00601F7A">
            <w:pPr>
              <w:keepNext w:val="0"/>
              <w:keepLines w:val="0"/>
              <w:pageBreakBefore w:val="0"/>
              <w:widowControl w:val="0"/>
              <w:kinsoku/>
              <w:autoSpaceDE/>
              <w:autoSpaceDN/>
              <w:bidi w:val="0"/>
              <w:adjustRightInd/>
              <w:snapToGrid/>
              <w:spacing w:line="500" w:lineRule="atLeast"/>
              <w:jc w:val="center"/>
              <w:rPr>
                <w:rFonts w:hint="eastAsia" w:ascii="仿宋" w:hAnsi="仿宋" w:eastAsia="仿宋" w:cs="仿宋"/>
                <w:spacing w:val="-8"/>
                <w:kern w:val="2"/>
                <w:sz w:val="24"/>
                <w:szCs w:val="24"/>
                <w:highlight w:val="none"/>
                <w:lang w:val="en-US" w:eastAsia="en-US" w:bidi="ar-SA"/>
              </w:rPr>
            </w:pPr>
            <w:r>
              <w:rPr>
                <w:rFonts w:hint="eastAsia" w:ascii="仿宋" w:hAnsi="仿宋" w:eastAsia="仿宋" w:cs="仿宋"/>
                <w:spacing w:val="-8"/>
                <w:sz w:val="24"/>
                <w:szCs w:val="24"/>
                <w:highlight w:val="none"/>
              </w:rPr>
              <w:t>整体服务方案</w:t>
            </w:r>
            <w:r>
              <w:rPr>
                <w:rFonts w:hint="eastAsia" w:ascii="仿宋" w:hAnsi="仿宋" w:eastAsia="仿宋" w:cs="仿宋"/>
                <w:spacing w:val="-8"/>
                <w:kern w:val="2"/>
                <w:sz w:val="24"/>
                <w:szCs w:val="24"/>
                <w:highlight w:val="none"/>
                <w:lang w:val="en-US" w:eastAsia="zh-CN" w:bidi="ar-SA"/>
              </w:rPr>
              <w:t>30</w:t>
            </w:r>
            <w:r>
              <w:rPr>
                <w:rFonts w:hint="eastAsia" w:ascii="仿宋" w:hAnsi="仿宋" w:eastAsia="仿宋" w:cs="仿宋"/>
                <w:spacing w:val="-8"/>
                <w:kern w:val="2"/>
                <w:sz w:val="24"/>
                <w:szCs w:val="24"/>
                <w:highlight w:val="none"/>
                <w:lang w:val="en-US" w:eastAsia="en-US" w:bidi="ar-SA"/>
              </w:rPr>
              <w:t>%</w:t>
            </w:r>
          </w:p>
        </w:tc>
        <w:tc>
          <w:tcPr>
            <w:tcW w:w="744" w:type="dxa"/>
            <w:noWrap w:val="0"/>
            <w:vAlign w:val="center"/>
          </w:tcPr>
          <w:p w14:paraId="6FC78378">
            <w:pPr>
              <w:keepNext w:val="0"/>
              <w:keepLines w:val="0"/>
              <w:pageBreakBefore w:val="0"/>
              <w:widowControl w:val="0"/>
              <w:kinsoku/>
              <w:autoSpaceDE/>
              <w:autoSpaceDN/>
              <w:bidi w:val="0"/>
              <w:adjustRightInd/>
              <w:snapToGrid/>
              <w:spacing w:line="500" w:lineRule="atLeast"/>
              <w:jc w:val="both"/>
              <w:rPr>
                <w:rFonts w:hint="eastAsia" w:ascii="仿宋" w:hAnsi="仿宋" w:eastAsia="仿宋" w:cs="仿宋"/>
                <w:spacing w:val="-8"/>
                <w:kern w:val="2"/>
                <w:sz w:val="24"/>
                <w:szCs w:val="24"/>
                <w:highlight w:val="none"/>
                <w:lang w:val="en-US" w:eastAsia="en-US" w:bidi="ar-SA"/>
              </w:rPr>
            </w:pPr>
            <w:r>
              <w:rPr>
                <w:rFonts w:hint="eastAsia" w:ascii="仿宋" w:hAnsi="仿宋" w:eastAsia="仿宋" w:cs="仿宋"/>
                <w:spacing w:val="-8"/>
                <w:kern w:val="2"/>
                <w:sz w:val="24"/>
                <w:szCs w:val="24"/>
                <w:highlight w:val="none"/>
                <w:lang w:val="en-US" w:eastAsia="zh-CN" w:bidi="ar-SA"/>
              </w:rPr>
              <w:t>30</w:t>
            </w:r>
            <w:r>
              <w:rPr>
                <w:rFonts w:hint="eastAsia" w:ascii="仿宋" w:hAnsi="仿宋" w:eastAsia="仿宋" w:cs="仿宋"/>
                <w:spacing w:val="-8"/>
                <w:kern w:val="2"/>
                <w:sz w:val="24"/>
                <w:szCs w:val="24"/>
                <w:highlight w:val="none"/>
                <w:lang w:val="en-US" w:eastAsia="en-US" w:bidi="ar-SA"/>
              </w:rPr>
              <w:t>分</w:t>
            </w:r>
          </w:p>
        </w:tc>
        <w:tc>
          <w:tcPr>
            <w:tcW w:w="4824" w:type="dxa"/>
            <w:noWrap w:val="0"/>
            <w:vAlign w:val="center"/>
          </w:tcPr>
          <w:p w14:paraId="0C7D997E">
            <w:pPr>
              <w:keepNext w:val="0"/>
              <w:keepLines w:val="0"/>
              <w:pageBreakBefore w:val="0"/>
              <w:widowControl w:val="0"/>
              <w:kinsoku/>
              <w:wordWrap w:val="0"/>
              <w:overflowPunct w:val="0"/>
              <w:topLinePunct/>
              <w:autoSpaceDE/>
              <w:autoSpaceDN/>
              <w:bidi w:val="0"/>
              <w:adjustRightInd/>
              <w:snapToGrid/>
              <w:spacing w:line="500" w:lineRule="atLeast"/>
              <w:ind w:right="0" w:rightChars="0" w:firstLine="0" w:firstLineChars="0"/>
              <w:jc w:val="left"/>
              <w:textAlignment w:val="center"/>
              <w:rPr>
                <w:rFonts w:hint="eastAsia" w:ascii="仿宋" w:hAnsi="仿宋" w:eastAsia="仿宋" w:cs="仿宋"/>
                <w:b w:val="0"/>
                <w:bCs/>
                <w:color w:val="auto"/>
                <w:sz w:val="24"/>
                <w:szCs w:val="24"/>
                <w:highlight w:val="none"/>
                <w:lang w:eastAsia="en-US"/>
              </w:rPr>
            </w:pPr>
            <w:r>
              <w:rPr>
                <w:rFonts w:hint="eastAsia" w:ascii="仿宋" w:hAnsi="仿宋" w:eastAsia="仿宋" w:cs="仿宋"/>
                <w:b w:val="0"/>
                <w:bCs/>
                <w:color w:val="auto"/>
                <w:sz w:val="24"/>
                <w:szCs w:val="24"/>
                <w:highlight w:val="none"/>
                <w:lang w:eastAsia="en-US"/>
              </w:rPr>
              <w:t>1、根据</w:t>
            </w:r>
            <w:r>
              <w:rPr>
                <w:rFonts w:hint="eastAsia" w:ascii="仿宋" w:hAnsi="仿宋" w:eastAsia="仿宋" w:cs="仿宋"/>
                <w:b w:val="0"/>
                <w:bCs/>
                <w:color w:val="auto"/>
                <w:sz w:val="24"/>
                <w:szCs w:val="24"/>
                <w:highlight w:val="none"/>
                <w:lang w:eastAsia="zh-CN"/>
              </w:rPr>
              <w:t>供应商</w:t>
            </w:r>
            <w:r>
              <w:rPr>
                <w:rFonts w:hint="eastAsia" w:ascii="仿宋" w:hAnsi="仿宋" w:eastAsia="仿宋" w:cs="仿宋"/>
                <w:b w:val="0"/>
                <w:bCs/>
                <w:color w:val="auto"/>
                <w:sz w:val="24"/>
                <w:szCs w:val="24"/>
                <w:highlight w:val="none"/>
                <w:lang w:eastAsia="en-US"/>
              </w:rPr>
              <w:t>针对本项目制定的质量保障措施方案进行评审，质量保障措施方案包含：①质量保证目标；②质量保障措施；③质量保障制度。涵盖以上内容且不存在缺陷得</w:t>
            </w:r>
            <w:r>
              <w:rPr>
                <w:rFonts w:hint="eastAsia" w:ascii="仿宋" w:hAnsi="仿宋" w:eastAsia="仿宋" w:cs="仿宋"/>
                <w:b w:val="0"/>
                <w:bCs/>
                <w:color w:val="auto"/>
                <w:sz w:val="24"/>
                <w:szCs w:val="24"/>
                <w:highlight w:val="none"/>
                <w:lang w:val="en-US" w:eastAsia="zh-CN"/>
              </w:rPr>
              <w:t>6</w:t>
            </w:r>
            <w:r>
              <w:rPr>
                <w:rFonts w:hint="eastAsia" w:ascii="仿宋" w:hAnsi="仿宋" w:eastAsia="仿宋" w:cs="仿宋"/>
                <w:b w:val="0"/>
                <w:bCs/>
                <w:color w:val="auto"/>
                <w:sz w:val="24"/>
                <w:szCs w:val="24"/>
                <w:highlight w:val="none"/>
                <w:lang w:eastAsia="en-US"/>
              </w:rPr>
              <w:t>分，在此基础上，每缺少一项内容扣</w:t>
            </w:r>
            <w:r>
              <w:rPr>
                <w:rFonts w:hint="eastAsia" w:ascii="仿宋" w:hAnsi="仿宋" w:eastAsia="仿宋" w:cs="仿宋"/>
                <w:b w:val="0"/>
                <w:bCs/>
                <w:color w:val="auto"/>
                <w:sz w:val="24"/>
                <w:szCs w:val="24"/>
                <w:highlight w:val="none"/>
                <w:lang w:val="en-US" w:eastAsia="zh-CN"/>
              </w:rPr>
              <w:t>2</w:t>
            </w:r>
            <w:r>
              <w:rPr>
                <w:rFonts w:hint="eastAsia" w:ascii="仿宋" w:hAnsi="仿宋" w:eastAsia="仿宋" w:cs="仿宋"/>
                <w:b w:val="0"/>
                <w:bCs/>
                <w:color w:val="auto"/>
                <w:sz w:val="24"/>
                <w:szCs w:val="24"/>
                <w:highlight w:val="none"/>
                <w:lang w:eastAsia="en-US"/>
              </w:rPr>
              <w:t>分，每有一处内容存在缺陷扣0.</w:t>
            </w:r>
            <w:r>
              <w:rPr>
                <w:rFonts w:hint="eastAsia" w:ascii="仿宋" w:hAnsi="仿宋" w:eastAsia="仿宋" w:cs="仿宋"/>
                <w:b w:val="0"/>
                <w:bCs/>
                <w:color w:val="auto"/>
                <w:sz w:val="24"/>
                <w:szCs w:val="24"/>
                <w:highlight w:val="none"/>
                <w:lang w:eastAsia="zh-CN"/>
              </w:rPr>
              <w:t>5</w:t>
            </w:r>
            <w:r>
              <w:rPr>
                <w:rFonts w:hint="eastAsia" w:ascii="仿宋" w:hAnsi="仿宋" w:eastAsia="仿宋" w:cs="仿宋"/>
                <w:b w:val="0"/>
                <w:bCs/>
                <w:color w:val="auto"/>
                <w:sz w:val="24"/>
                <w:szCs w:val="24"/>
                <w:highlight w:val="none"/>
                <w:lang w:eastAsia="en-US"/>
              </w:rPr>
              <w:t>分，扣完为止。（“内容存在缺陷”是指：①本项目提供的方案中引用法律法规、规范、标准或其他规范性文件存在失效或错误；②非专门针对本项目或内容与本项目需求无关；③复制或套用其他项目内容；④照搬采购需求且未作出进一步描述；以上任意一种情形。）</w:t>
            </w:r>
          </w:p>
          <w:p w14:paraId="7BA78316">
            <w:pPr>
              <w:keepNext w:val="0"/>
              <w:keepLines w:val="0"/>
              <w:pageBreakBefore w:val="0"/>
              <w:widowControl w:val="0"/>
              <w:kinsoku/>
              <w:wordWrap w:val="0"/>
              <w:overflowPunct w:val="0"/>
              <w:topLinePunct/>
              <w:autoSpaceDE/>
              <w:autoSpaceDN/>
              <w:bidi w:val="0"/>
              <w:adjustRightInd/>
              <w:snapToGrid/>
              <w:spacing w:line="500" w:lineRule="atLeast"/>
              <w:ind w:right="0" w:rightChars="0" w:firstLine="0" w:firstLineChars="0"/>
              <w:jc w:val="left"/>
              <w:textAlignment w:val="center"/>
              <w:rPr>
                <w:rFonts w:hint="eastAsia" w:ascii="仿宋" w:hAnsi="仿宋" w:eastAsia="仿宋" w:cs="仿宋"/>
                <w:b w:val="0"/>
                <w:bCs/>
                <w:color w:val="auto"/>
                <w:sz w:val="24"/>
                <w:szCs w:val="24"/>
                <w:highlight w:val="none"/>
                <w:lang w:eastAsia="en-US"/>
              </w:rPr>
            </w:pPr>
            <w:r>
              <w:rPr>
                <w:rFonts w:hint="eastAsia" w:ascii="仿宋" w:hAnsi="仿宋" w:eastAsia="仿宋" w:cs="仿宋"/>
                <w:b w:val="0"/>
                <w:bCs/>
                <w:color w:val="auto"/>
                <w:sz w:val="24"/>
                <w:szCs w:val="24"/>
                <w:highlight w:val="none"/>
                <w:lang w:eastAsia="en-US"/>
              </w:rPr>
              <w:t>2、根据</w:t>
            </w:r>
            <w:r>
              <w:rPr>
                <w:rFonts w:hint="eastAsia" w:ascii="仿宋" w:hAnsi="仿宋" w:eastAsia="仿宋" w:cs="仿宋"/>
                <w:b w:val="0"/>
                <w:bCs/>
                <w:color w:val="auto"/>
                <w:sz w:val="24"/>
                <w:szCs w:val="24"/>
                <w:highlight w:val="none"/>
                <w:lang w:eastAsia="zh-CN"/>
              </w:rPr>
              <w:t>供应商</w:t>
            </w:r>
            <w:r>
              <w:rPr>
                <w:rFonts w:hint="eastAsia" w:ascii="仿宋" w:hAnsi="仿宋" w:eastAsia="仿宋" w:cs="仿宋"/>
                <w:b w:val="0"/>
                <w:bCs/>
                <w:color w:val="auto"/>
                <w:sz w:val="24"/>
                <w:szCs w:val="24"/>
                <w:highlight w:val="none"/>
                <w:lang w:eastAsia="en-US"/>
              </w:rPr>
              <w:t>针对本项目制定的配送服务方案进行评审，配送服务方案包含：①配送计划；②配送服务人员方案；③配备配送车辆行驶方案；④配送服务保障措施；⑤供货渠道及备货方案；⑥仓储保障措施。涵盖以上内容且不存在缺陷得</w:t>
            </w:r>
            <w:r>
              <w:rPr>
                <w:rFonts w:hint="eastAsia" w:ascii="仿宋" w:hAnsi="仿宋" w:eastAsia="仿宋" w:cs="仿宋"/>
                <w:b w:val="0"/>
                <w:bCs/>
                <w:color w:val="auto"/>
                <w:sz w:val="24"/>
                <w:szCs w:val="24"/>
                <w:highlight w:val="none"/>
                <w:lang w:eastAsia="zh-CN"/>
              </w:rPr>
              <w:t>9</w:t>
            </w:r>
            <w:r>
              <w:rPr>
                <w:rFonts w:hint="eastAsia" w:ascii="仿宋" w:hAnsi="仿宋" w:eastAsia="仿宋" w:cs="仿宋"/>
                <w:b w:val="0"/>
                <w:bCs/>
                <w:color w:val="auto"/>
                <w:sz w:val="24"/>
                <w:szCs w:val="24"/>
                <w:highlight w:val="none"/>
                <w:lang w:eastAsia="en-US"/>
              </w:rPr>
              <w:t>分，在此基础上，每缺少一项内容扣</w:t>
            </w:r>
            <w:r>
              <w:rPr>
                <w:rFonts w:hint="eastAsia" w:ascii="仿宋" w:hAnsi="仿宋" w:eastAsia="仿宋" w:cs="仿宋"/>
                <w:b w:val="0"/>
                <w:bCs/>
                <w:color w:val="auto"/>
                <w:sz w:val="24"/>
                <w:szCs w:val="24"/>
                <w:highlight w:val="none"/>
                <w:lang w:eastAsia="zh-CN"/>
              </w:rPr>
              <w:t>1</w:t>
            </w:r>
            <w:r>
              <w:rPr>
                <w:rFonts w:hint="eastAsia" w:ascii="仿宋" w:hAnsi="仿宋" w:eastAsia="仿宋" w:cs="仿宋"/>
                <w:b w:val="0"/>
                <w:bCs/>
                <w:color w:val="auto"/>
                <w:sz w:val="24"/>
                <w:szCs w:val="24"/>
                <w:highlight w:val="none"/>
                <w:lang w:val="en-US" w:eastAsia="zh-CN"/>
              </w:rPr>
              <w:t>.5</w:t>
            </w:r>
            <w:r>
              <w:rPr>
                <w:rFonts w:hint="eastAsia" w:ascii="仿宋" w:hAnsi="仿宋" w:eastAsia="仿宋" w:cs="仿宋"/>
                <w:b w:val="0"/>
                <w:bCs/>
                <w:color w:val="auto"/>
                <w:sz w:val="24"/>
                <w:szCs w:val="24"/>
                <w:highlight w:val="none"/>
                <w:lang w:eastAsia="en-US"/>
              </w:rPr>
              <w:t>分，每有一处内容存在缺陷扣</w:t>
            </w:r>
            <w:r>
              <w:rPr>
                <w:rFonts w:hint="eastAsia" w:ascii="仿宋" w:hAnsi="仿宋" w:eastAsia="仿宋" w:cs="仿宋"/>
                <w:b w:val="0"/>
                <w:bCs/>
                <w:color w:val="auto"/>
                <w:sz w:val="24"/>
                <w:szCs w:val="24"/>
                <w:highlight w:val="none"/>
                <w:lang w:eastAsia="zh-CN"/>
              </w:rPr>
              <w:t>0</w:t>
            </w:r>
            <w:r>
              <w:rPr>
                <w:rFonts w:hint="eastAsia" w:ascii="仿宋" w:hAnsi="仿宋" w:eastAsia="仿宋" w:cs="仿宋"/>
                <w:b w:val="0"/>
                <w:bCs/>
                <w:color w:val="auto"/>
                <w:sz w:val="24"/>
                <w:szCs w:val="24"/>
                <w:highlight w:val="none"/>
                <w:lang w:val="en-US" w:eastAsia="zh-CN"/>
              </w:rPr>
              <w:t>.5</w:t>
            </w:r>
            <w:r>
              <w:rPr>
                <w:rFonts w:hint="eastAsia" w:ascii="仿宋" w:hAnsi="仿宋" w:eastAsia="仿宋" w:cs="仿宋"/>
                <w:b w:val="0"/>
                <w:bCs/>
                <w:color w:val="auto"/>
                <w:sz w:val="24"/>
                <w:szCs w:val="24"/>
                <w:highlight w:val="none"/>
                <w:lang w:eastAsia="en-US"/>
              </w:rPr>
              <w:t>分，扣完为止。（“内容存在缺陷”是指：①本项目提供的方案中引用法律法规、规范、标准或其他规范性文件存在失效或错误；②非专门针对本项目或内容与本项目需求无关；③复制或套用其他项目内容；④照搬采购需求且未作出进一步描述；以上任意一种情形。）</w:t>
            </w:r>
          </w:p>
          <w:p w14:paraId="53956344">
            <w:pPr>
              <w:keepNext w:val="0"/>
              <w:keepLines w:val="0"/>
              <w:pageBreakBefore w:val="0"/>
              <w:widowControl w:val="0"/>
              <w:kinsoku/>
              <w:wordWrap w:val="0"/>
              <w:overflowPunct w:val="0"/>
              <w:topLinePunct/>
              <w:autoSpaceDE/>
              <w:autoSpaceDN/>
              <w:bidi w:val="0"/>
              <w:adjustRightInd/>
              <w:snapToGrid/>
              <w:spacing w:line="500" w:lineRule="atLeast"/>
              <w:ind w:right="0" w:rightChars="0" w:firstLine="0" w:firstLineChars="0"/>
              <w:jc w:val="left"/>
              <w:textAlignment w:val="center"/>
              <w:rPr>
                <w:rFonts w:hint="eastAsia" w:ascii="仿宋" w:hAnsi="仿宋" w:eastAsia="仿宋" w:cs="仿宋"/>
                <w:b w:val="0"/>
                <w:bCs/>
                <w:color w:val="auto"/>
                <w:sz w:val="24"/>
                <w:szCs w:val="24"/>
                <w:highlight w:val="none"/>
                <w:lang w:eastAsia="en-US"/>
              </w:rPr>
            </w:pPr>
            <w:r>
              <w:rPr>
                <w:rFonts w:hint="eastAsia" w:ascii="仿宋" w:hAnsi="仿宋" w:eastAsia="仿宋" w:cs="仿宋"/>
                <w:b w:val="0"/>
                <w:bCs/>
                <w:color w:val="auto"/>
                <w:sz w:val="24"/>
                <w:szCs w:val="24"/>
                <w:highlight w:val="none"/>
                <w:lang w:eastAsia="en-US"/>
              </w:rPr>
              <w:t>3、根据</w:t>
            </w:r>
            <w:r>
              <w:rPr>
                <w:rFonts w:hint="eastAsia" w:ascii="仿宋" w:hAnsi="仿宋" w:eastAsia="仿宋" w:cs="仿宋"/>
                <w:b w:val="0"/>
                <w:bCs/>
                <w:color w:val="auto"/>
                <w:sz w:val="24"/>
                <w:szCs w:val="24"/>
                <w:highlight w:val="none"/>
                <w:lang w:eastAsia="zh-CN"/>
              </w:rPr>
              <w:t>供应商</w:t>
            </w:r>
            <w:r>
              <w:rPr>
                <w:rFonts w:hint="eastAsia" w:ascii="仿宋" w:hAnsi="仿宋" w:eastAsia="仿宋" w:cs="仿宋"/>
                <w:b w:val="0"/>
                <w:bCs/>
                <w:color w:val="auto"/>
                <w:sz w:val="24"/>
                <w:szCs w:val="24"/>
                <w:highlight w:val="none"/>
                <w:lang w:eastAsia="en-US"/>
              </w:rPr>
              <w:t>针对本项目制定的售后服务措施方案进行评审，售后服务措施方案包含：①售后服务体系；②后续服务方式；③响应措施。涵盖以上内容且不存在缺陷得</w:t>
            </w:r>
            <w:r>
              <w:rPr>
                <w:rFonts w:hint="eastAsia" w:ascii="仿宋" w:hAnsi="仿宋" w:eastAsia="仿宋" w:cs="仿宋"/>
                <w:b w:val="0"/>
                <w:bCs/>
                <w:color w:val="auto"/>
                <w:sz w:val="24"/>
                <w:szCs w:val="24"/>
                <w:highlight w:val="none"/>
                <w:lang w:eastAsia="zh-CN"/>
              </w:rPr>
              <w:t>9</w:t>
            </w:r>
            <w:r>
              <w:rPr>
                <w:rFonts w:hint="eastAsia" w:ascii="仿宋" w:hAnsi="仿宋" w:eastAsia="仿宋" w:cs="仿宋"/>
                <w:b w:val="0"/>
                <w:bCs/>
                <w:color w:val="auto"/>
                <w:sz w:val="24"/>
                <w:szCs w:val="24"/>
                <w:highlight w:val="none"/>
                <w:lang w:eastAsia="en-US"/>
              </w:rPr>
              <w:t>分，在此基础上，每缺少一项内容扣</w:t>
            </w:r>
            <w:r>
              <w:rPr>
                <w:rFonts w:hint="eastAsia" w:ascii="仿宋" w:hAnsi="仿宋" w:eastAsia="仿宋" w:cs="仿宋"/>
                <w:b w:val="0"/>
                <w:bCs/>
                <w:color w:val="auto"/>
                <w:sz w:val="24"/>
                <w:szCs w:val="24"/>
                <w:highlight w:val="none"/>
                <w:lang w:eastAsia="zh-CN"/>
              </w:rPr>
              <w:t>3</w:t>
            </w:r>
            <w:r>
              <w:rPr>
                <w:rFonts w:hint="eastAsia" w:ascii="仿宋" w:hAnsi="仿宋" w:eastAsia="仿宋" w:cs="仿宋"/>
                <w:b w:val="0"/>
                <w:bCs/>
                <w:color w:val="auto"/>
                <w:sz w:val="24"/>
                <w:szCs w:val="24"/>
                <w:highlight w:val="none"/>
                <w:lang w:eastAsia="en-US"/>
              </w:rPr>
              <w:t>分，每有一处内容存在缺陷扣0.5分，扣完为止。（“内容存在缺陷”是指：①本项目提供的方案中引用法律法规、规范、标准或其他规范性文件存在失效或错误；②非专门针对本项目或内容与本项目需求无关；③复制或套用其他项目内容；④照搬采购需求且未作出进一步描述；以上任意一种情形。）</w:t>
            </w:r>
          </w:p>
          <w:p w14:paraId="736D03F5">
            <w:pPr>
              <w:keepNext w:val="0"/>
              <w:keepLines w:val="0"/>
              <w:pageBreakBefore w:val="0"/>
              <w:widowControl w:val="0"/>
              <w:kinsoku/>
              <w:wordWrap w:val="0"/>
              <w:overflowPunct w:val="0"/>
              <w:topLinePunct/>
              <w:autoSpaceDE/>
              <w:autoSpaceDN/>
              <w:bidi w:val="0"/>
              <w:adjustRightInd/>
              <w:snapToGrid/>
              <w:spacing w:line="500" w:lineRule="atLeast"/>
              <w:ind w:right="0" w:rightChars="0" w:firstLine="0" w:firstLineChars="0"/>
              <w:jc w:val="left"/>
              <w:textAlignment w:val="center"/>
              <w:rPr>
                <w:rFonts w:hint="eastAsia" w:ascii="仿宋" w:hAnsi="仿宋" w:eastAsia="仿宋" w:cs="仿宋"/>
                <w:b w:val="0"/>
                <w:bCs/>
                <w:color w:val="auto"/>
                <w:sz w:val="24"/>
                <w:szCs w:val="24"/>
                <w:highlight w:val="none"/>
                <w:lang w:val="en-US" w:eastAsia="en-US"/>
              </w:rPr>
            </w:pPr>
            <w:r>
              <w:rPr>
                <w:rFonts w:hint="eastAsia" w:ascii="仿宋" w:hAnsi="仿宋" w:eastAsia="仿宋" w:cs="仿宋"/>
                <w:b w:val="0"/>
                <w:bCs/>
                <w:color w:val="auto"/>
                <w:sz w:val="24"/>
                <w:szCs w:val="24"/>
                <w:highlight w:val="none"/>
                <w:lang w:eastAsia="en-US"/>
              </w:rPr>
              <w:t>4、根据</w:t>
            </w:r>
            <w:r>
              <w:rPr>
                <w:rFonts w:hint="eastAsia" w:ascii="仿宋" w:hAnsi="仿宋" w:eastAsia="仿宋" w:cs="仿宋"/>
                <w:b w:val="0"/>
                <w:bCs/>
                <w:color w:val="auto"/>
                <w:sz w:val="24"/>
                <w:szCs w:val="24"/>
                <w:highlight w:val="none"/>
                <w:lang w:eastAsia="zh-CN"/>
              </w:rPr>
              <w:t>供应商</w:t>
            </w:r>
            <w:r>
              <w:rPr>
                <w:rFonts w:hint="eastAsia" w:ascii="仿宋" w:hAnsi="仿宋" w:eastAsia="仿宋" w:cs="仿宋"/>
                <w:b w:val="0"/>
                <w:bCs/>
                <w:color w:val="auto"/>
                <w:sz w:val="24"/>
                <w:szCs w:val="24"/>
                <w:highlight w:val="none"/>
                <w:lang w:eastAsia="en-US"/>
              </w:rPr>
              <w:t>针对本项目制定的应急预案进行评审，应急预案包含：①应急流程；②应急事故处理办法；③意外事故应急；④自然灾害应急。涵盖以上内容且不存在缺陷得</w:t>
            </w:r>
            <w:r>
              <w:rPr>
                <w:rFonts w:hint="eastAsia" w:ascii="仿宋" w:hAnsi="仿宋" w:eastAsia="仿宋" w:cs="仿宋"/>
                <w:b w:val="0"/>
                <w:bCs/>
                <w:color w:val="auto"/>
                <w:sz w:val="24"/>
                <w:szCs w:val="24"/>
                <w:highlight w:val="none"/>
                <w:lang w:eastAsia="zh-CN"/>
              </w:rPr>
              <w:t>6</w:t>
            </w:r>
            <w:r>
              <w:rPr>
                <w:rFonts w:hint="eastAsia" w:ascii="仿宋" w:hAnsi="仿宋" w:eastAsia="仿宋" w:cs="仿宋"/>
                <w:b w:val="0"/>
                <w:bCs/>
                <w:color w:val="auto"/>
                <w:sz w:val="24"/>
                <w:szCs w:val="24"/>
                <w:highlight w:val="none"/>
                <w:lang w:eastAsia="en-US"/>
              </w:rPr>
              <w:t>分，在此基础上，每缺少一项内容扣1</w:t>
            </w:r>
            <w:r>
              <w:rPr>
                <w:rFonts w:hint="eastAsia" w:ascii="仿宋" w:hAnsi="仿宋" w:eastAsia="仿宋" w:cs="仿宋"/>
                <w:b w:val="0"/>
                <w:bCs/>
                <w:color w:val="auto"/>
                <w:sz w:val="24"/>
                <w:szCs w:val="24"/>
                <w:highlight w:val="none"/>
                <w:lang w:val="en-US" w:eastAsia="zh-CN"/>
              </w:rPr>
              <w:t>.5</w:t>
            </w:r>
            <w:r>
              <w:rPr>
                <w:rFonts w:hint="eastAsia" w:ascii="仿宋" w:hAnsi="仿宋" w:eastAsia="仿宋" w:cs="仿宋"/>
                <w:b w:val="0"/>
                <w:bCs/>
                <w:color w:val="auto"/>
                <w:sz w:val="24"/>
                <w:szCs w:val="24"/>
                <w:highlight w:val="none"/>
                <w:lang w:eastAsia="en-US"/>
              </w:rPr>
              <w:t>分，每有一处内容存在缺陷扣0.5分，扣完为止。（“内容存在缺陷”是指：①本项目提供的方案中引用法律法规、规范、标准或其他规范性文件存在失效或错误；②非专门针对本项目或内容与本项目需求无关；③复制或套用其他项目内容；④照搬采购需求且未作出进一步描述；以上任意一种情形。）</w:t>
            </w:r>
          </w:p>
        </w:tc>
        <w:tc>
          <w:tcPr>
            <w:tcW w:w="786" w:type="dxa"/>
            <w:noWrap w:val="0"/>
            <w:vAlign w:val="center"/>
          </w:tcPr>
          <w:p w14:paraId="49C6E932">
            <w:pPr>
              <w:keepNext w:val="0"/>
              <w:keepLines w:val="0"/>
              <w:pageBreakBefore w:val="0"/>
              <w:widowControl w:val="0"/>
              <w:kinsoku/>
              <w:wordWrap w:val="0"/>
              <w:overflowPunct w:val="0"/>
              <w:topLinePunct/>
              <w:autoSpaceDE/>
              <w:autoSpaceDN/>
              <w:bidi w:val="0"/>
              <w:adjustRightInd/>
              <w:snapToGrid/>
              <w:spacing w:line="500" w:lineRule="atLeast"/>
              <w:ind w:right="0" w:rightChars="0" w:firstLine="0" w:firstLineChars="0"/>
              <w:jc w:val="center"/>
              <w:textAlignment w:val="center"/>
              <w:rPr>
                <w:rFonts w:hint="eastAsia" w:ascii="仿宋" w:hAnsi="仿宋" w:eastAsia="仿宋" w:cs="仿宋"/>
                <w:b/>
                <w:bCs/>
                <w:color w:val="auto"/>
                <w:sz w:val="24"/>
                <w:szCs w:val="24"/>
                <w:highlight w:val="none"/>
                <w:lang w:val="en-US" w:eastAsia="zh-CN"/>
              </w:rPr>
            </w:pPr>
            <w:r>
              <w:rPr>
                <w:rFonts w:hint="eastAsia" w:ascii="仿宋" w:hAnsi="仿宋" w:eastAsia="仿宋" w:cs="仿宋"/>
                <w:b/>
                <w:bCs/>
                <w:color w:val="auto"/>
                <w:sz w:val="24"/>
                <w:szCs w:val="24"/>
                <w:highlight w:val="none"/>
                <w:lang w:val="en-US" w:eastAsia="zh-CN"/>
              </w:rPr>
              <w:t>主观</w:t>
            </w:r>
          </w:p>
        </w:tc>
      </w:tr>
      <w:tr w14:paraId="0BD2CB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8" w:type="dxa"/>
            <w:noWrap w:val="0"/>
            <w:vAlign w:val="center"/>
          </w:tcPr>
          <w:p w14:paraId="3F30102F">
            <w:pPr>
              <w:keepNext w:val="0"/>
              <w:keepLines w:val="0"/>
              <w:pageBreakBefore w:val="0"/>
              <w:widowControl w:val="0"/>
              <w:kinsoku/>
              <w:wordWrap w:val="0"/>
              <w:overflowPunct w:val="0"/>
              <w:topLinePunct/>
              <w:autoSpaceDE/>
              <w:autoSpaceDN/>
              <w:bidi w:val="0"/>
              <w:adjustRightInd/>
              <w:snapToGrid/>
              <w:spacing w:line="500" w:lineRule="atLeast"/>
              <w:ind w:right="0" w:rightChars="0" w:firstLine="0" w:firstLineChars="0"/>
              <w:jc w:val="center"/>
              <w:textAlignment w:val="center"/>
              <w:rPr>
                <w:rFonts w:hint="eastAsia" w:ascii="仿宋" w:hAnsi="仿宋" w:eastAsia="仿宋" w:cs="仿宋"/>
                <w:b/>
                <w:color w:val="auto"/>
                <w:sz w:val="24"/>
                <w:szCs w:val="24"/>
                <w:highlight w:val="none"/>
                <w:lang w:val="en-US" w:eastAsia="zh-CN"/>
              </w:rPr>
            </w:pPr>
            <w:r>
              <w:rPr>
                <w:rFonts w:hint="eastAsia" w:ascii="仿宋" w:hAnsi="仿宋" w:eastAsia="仿宋" w:cs="仿宋"/>
                <w:b/>
                <w:color w:val="auto"/>
                <w:sz w:val="24"/>
                <w:szCs w:val="24"/>
                <w:highlight w:val="none"/>
                <w:lang w:val="en-US" w:eastAsia="zh-CN"/>
              </w:rPr>
              <w:t>5</w:t>
            </w:r>
          </w:p>
        </w:tc>
        <w:tc>
          <w:tcPr>
            <w:tcW w:w="1500" w:type="dxa"/>
            <w:noWrap w:val="0"/>
            <w:vAlign w:val="center"/>
          </w:tcPr>
          <w:p w14:paraId="576B980C">
            <w:pPr>
              <w:keepNext w:val="0"/>
              <w:keepLines w:val="0"/>
              <w:pageBreakBefore w:val="0"/>
              <w:widowControl w:val="0"/>
              <w:kinsoku/>
              <w:autoSpaceDE/>
              <w:autoSpaceDN/>
              <w:bidi w:val="0"/>
              <w:adjustRightInd/>
              <w:snapToGrid/>
              <w:spacing w:line="500" w:lineRule="atLeast"/>
              <w:jc w:val="center"/>
              <w:rPr>
                <w:rFonts w:hint="eastAsia" w:ascii="仿宋" w:hAnsi="仿宋" w:eastAsia="仿宋" w:cs="仿宋"/>
                <w:spacing w:val="-8"/>
                <w:kern w:val="2"/>
                <w:sz w:val="24"/>
                <w:szCs w:val="24"/>
                <w:highlight w:val="none"/>
                <w:lang w:val="en-US" w:eastAsia="zh-CN" w:bidi="ar-SA"/>
              </w:rPr>
            </w:pPr>
            <w:r>
              <w:rPr>
                <w:rFonts w:hint="eastAsia" w:ascii="仿宋" w:hAnsi="仿宋" w:eastAsia="仿宋" w:cs="仿宋"/>
                <w:spacing w:val="-8"/>
                <w:sz w:val="24"/>
                <w:szCs w:val="24"/>
                <w:highlight w:val="none"/>
              </w:rPr>
              <w:t>服务能力</w:t>
            </w:r>
            <w:r>
              <w:rPr>
                <w:rFonts w:hint="eastAsia" w:ascii="仿宋" w:hAnsi="仿宋" w:eastAsia="仿宋" w:cs="仿宋"/>
                <w:spacing w:val="-8"/>
                <w:sz w:val="24"/>
                <w:szCs w:val="24"/>
                <w:highlight w:val="none"/>
                <w:lang w:val="en-US" w:eastAsia="zh-CN"/>
              </w:rPr>
              <w:t xml:space="preserve"> 6%</w:t>
            </w:r>
          </w:p>
        </w:tc>
        <w:tc>
          <w:tcPr>
            <w:tcW w:w="744" w:type="dxa"/>
            <w:noWrap w:val="0"/>
            <w:vAlign w:val="center"/>
          </w:tcPr>
          <w:p w14:paraId="288B69CC">
            <w:pPr>
              <w:keepNext w:val="0"/>
              <w:keepLines w:val="0"/>
              <w:pageBreakBefore w:val="0"/>
              <w:widowControl w:val="0"/>
              <w:kinsoku/>
              <w:autoSpaceDE/>
              <w:autoSpaceDN/>
              <w:bidi w:val="0"/>
              <w:adjustRightInd/>
              <w:snapToGrid/>
              <w:spacing w:line="500" w:lineRule="atLeast"/>
              <w:jc w:val="both"/>
              <w:rPr>
                <w:rFonts w:hint="eastAsia" w:ascii="仿宋" w:hAnsi="仿宋" w:eastAsia="仿宋" w:cs="仿宋"/>
                <w:spacing w:val="-8"/>
                <w:kern w:val="2"/>
                <w:sz w:val="24"/>
                <w:szCs w:val="24"/>
                <w:highlight w:val="none"/>
                <w:lang w:val="en-US" w:eastAsia="zh-CN" w:bidi="ar-SA"/>
              </w:rPr>
            </w:pPr>
            <w:r>
              <w:rPr>
                <w:rFonts w:hint="eastAsia" w:ascii="仿宋" w:hAnsi="仿宋" w:eastAsia="仿宋" w:cs="仿宋"/>
                <w:spacing w:val="-8"/>
                <w:kern w:val="2"/>
                <w:sz w:val="24"/>
                <w:szCs w:val="24"/>
                <w:highlight w:val="none"/>
                <w:lang w:val="en-US" w:eastAsia="zh-CN" w:bidi="ar-SA"/>
              </w:rPr>
              <w:t>6分</w:t>
            </w:r>
          </w:p>
        </w:tc>
        <w:tc>
          <w:tcPr>
            <w:tcW w:w="4824" w:type="dxa"/>
            <w:noWrap w:val="0"/>
            <w:vAlign w:val="center"/>
          </w:tcPr>
          <w:p w14:paraId="6C124A02">
            <w:pPr>
              <w:keepNext w:val="0"/>
              <w:keepLines w:val="0"/>
              <w:pageBreakBefore w:val="0"/>
              <w:widowControl w:val="0"/>
              <w:kinsoku/>
              <w:wordWrap w:val="0"/>
              <w:overflowPunct w:val="0"/>
              <w:topLinePunct/>
              <w:autoSpaceDE/>
              <w:autoSpaceDN/>
              <w:bidi w:val="0"/>
              <w:adjustRightInd/>
              <w:snapToGrid/>
              <w:spacing w:line="500" w:lineRule="atLeast"/>
              <w:ind w:right="0" w:rightChars="0" w:firstLine="0" w:firstLineChars="0"/>
              <w:jc w:val="left"/>
              <w:textAlignment w:val="center"/>
              <w:rPr>
                <w:rFonts w:hint="eastAsia" w:ascii="仿宋" w:hAnsi="仿宋" w:eastAsia="仿宋" w:cs="仿宋"/>
                <w:b w:val="0"/>
                <w:bCs/>
                <w:color w:val="auto"/>
                <w:sz w:val="24"/>
                <w:szCs w:val="24"/>
                <w:highlight w:val="none"/>
              </w:rPr>
            </w:pPr>
            <w:r>
              <w:rPr>
                <w:rFonts w:hint="eastAsia" w:ascii="仿宋" w:hAnsi="仿宋" w:eastAsia="仿宋" w:cs="仿宋"/>
                <w:b w:val="0"/>
                <w:bCs/>
                <w:color w:val="auto"/>
                <w:sz w:val="24"/>
                <w:szCs w:val="24"/>
                <w:highlight w:val="none"/>
                <w:lang w:val="en-US" w:eastAsia="zh-CN"/>
              </w:rPr>
              <w:t>1.</w:t>
            </w:r>
            <w:r>
              <w:rPr>
                <w:rFonts w:hint="eastAsia" w:ascii="仿宋" w:hAnsi="仿宋" w:eastAsia="仿宋" w:cs="仿宋"/>
                <w:b w:val="0"/>
                <w:bCs/>
                <w:color w:val="auto"/>
                <w:sz w:val="24"/>
                <w:szCs w:val="24"/>
                <w:highlight w:val="none"/>
              </w:rPr>
              <w:t>配送人员安排：投标人为本项目配备</w:t>
            </w:r>
            <w:r>
              <w:rPr>
                <w:rFonts w:hint="eastAsia" w:ascii="仿宋" w:hAnsi="仿宋" w:eastAsia="仿宋" w:cs="仿宋"/>
                <w:b w:val="0"/>
                <w:bCs/>
                <w:color w:val="auto"/>
                <w:sz w:val="24"/>
                <w:szCs w:val="24"/>
                <w:highlight w:val="none"/>
                <w:lang w:eastAsia="zh-CN"/>
              </w:rPr>
              <w:t>2</w:t>
            </w:r>
            <w:r>
              <w:rPr>
                <w:rFonts w:hint="eastAsia" w:ascii="仿宋" w:hAnsi="仿宋" w:eastAsia="仿宋" w:cs="仿宋"/>
                <w:b w:val="0"/>
                <w:bCs/>
                <w:color w:val="auto"/>
                <w:sz w:val="24"/>
                <w:szCs w:val="24"/>
                <w:highlight w:val="none"/>
              </w:rPr>
              <w:t>组固定的配送团队（每组各均配备1名司机+1名配送人员），每一组得</w:t>
            </w:r>
            <w:r>
              <w:rPr>
                <w:rFonts w:hint="eastAsia" w:ascii="仿宋" w:hAnsi="仿宋" w:eastAsia="仿宋" w:cs="仿宋"/>
                <w:b w:val="0"/>
                <w:bCs/>
                <w:color w:val="auto"/>
                <w:sz w:val="24"/>
                <w:szCs w:val="24"/>
                <w:highlight w:val="none"/>
                <w:lang w:val="en-US" w:eastAsia="zh-CN"/>
              </w:rPr>
              <w:t>1.5</w:t>
            </w:r>
            <w:r>
              <w:rPr>
                <w:rFonts w:hint="eastAsia" w:ascii="仿宋" w:hAnsi="仿宋" w:eastAsia="仿宋" w:cs="仿宋"/>
                <w:b w:val="0"/>
                <w:bCs/>
                <w:color w:val="auto"/>
                <w:sz w:val="24"/>
                <w:szCs w:val="24"/>
                <w:highlight w:val="none"/>
              </w:rPr>
              <w:t>分，本项最多得</w:t>
            </w:r>
            <w:r>
              <w:rPr>
                <w:rFonts w:hint="eastAsia" w:ascii="仿宋" w:hAnsi="仿宋" w:eastAsia="仿宋" w:cs="仿宋"/>
                <w:b w:val="0"/>
                <w:bCs/>
                <w:color w:val="auto"/>
                <w:sz w:val="24"/>
                <w:szCs w:val="24"/>
                <w:highlight w:val="none"/>
                <w:lang w:val="en-US" w:eastAsia="zh-CN"/>
              </w:rPr>
              <w:t>3</w:t>
            </w:r>
            <w:r>
              <w:rPr>
                <w:rFonts w:hint="eastAsia" w:ascii="仿宋" w:hAnsi="仿宋" w:eastAsia="仿宋" w:cs="仿宋"/>
                <w:b w:val="0"/>
                <w:bCs/>
                <w:color w:val="auto"/>
                <w:sz w:val="24"/>
                <w:szCs w:val="24"/>
                <w:highlight w:val="none"/>
              </w:rPr>
              <w:t>分。</w:t>
            </w:r>
          </w:p>
          <w:p w14:paraId="095C5D6F">
            <w:pPr>
              <w:keepNext w:val="0"/>
              <w:keepLines w:val="0"/>
              <w:pageBreakBefore w:val="0"/>
              <w:widowControl w:val="0"/>
              <w:kinsoku/>
              <w:wordWrap w:val="0"/>
              <w:overflowPunct w:val="0"/>
              <w:topLinePunct/>
              <w:autoSpaceDE/>
              <w:autoSpaceDN/>
              <w:bidi w:val="0"/>
              <w:adjustRightInd/>
              <w:snapToGrid/>
              <w:spacing w:line="500" w:lineRule="atLeast"/>
              <w:ind w:right="0" w:rightChars="0" w:firstLine="0" w:firstLineChars="0"/>
              <w:jc w:val="left"/>
              <w:textAlignment w:val="center"/>
              <w:rPr>
                <w:rFonts w:hint="eastAsia" w:ascii="仿宋" w:hAnsi="仿宋" w:eastAsia="仿宋" w:cs="仿宋"/>
                <w:b w:val="0"/>
                <w:bCs/>
                <w:color w:val="auto"/>
                <w:sz w:val="24"/>
                <w:szCs w:val="24"/>
                <w:highlight w:val="none"/>
              </w:rPr>
            </w:pPr>
            <w:r>
              <w:rPr>
                <w:rFonts w:hint="eastAsia" w:ascii="仿宋" w:hAnsi="仿宋" w:eastAsia="仿宋" w:cs="仿宋"/>
                <w:b w:val="0"/>
                <w:bCs/>
                <w:color w:val="auto"/>
                <w:sz w:val="24"/>
                <w:szCs w:val="24"/>
                <w:highlight w:val="none"/>
              </w:rPr>
              <w:t>注：需提供以上人员清单（人员身份证及联系方式，司机还需提供驾驶证）加盖投标人公章，不提供不得分。</w:t>
            </w:r>
          </w:p>
          <w:p w14:paraId="3DA1060E">
            <w:pPr>
              <w:keepNext w:val="0"/>
              <w:keepLines w:val="0"/>
              <w:pageBreakBefore w:val="0"/>
              <w:widowControl w:val="0"/>
              <w:kinsoku/>
              <w:wordWrap w:val="0"/>
              <w:overflowPunct w:val="0"/>
              <w:topLinePunct/>
              <w:autoSpaceDE/>
              <w:autoSpaceDN/>
              <w:bidi w:val="0"/>
              <w:adjustRightInd/>
              <w:snapToGrid/>
              <w:spacing w:line="500" w:lineRule="atLeast"/>
              <w:ind w:right="0" w:rightChars="0" w:firstLine="0" w:firstLineChars="0"/>
              <w:jc w:val="left"/>
              <w:textAlignment w:val="center"/>
              <w:rPr>
                <w:rFonts w:hint="eastAsia" w:ascii="仿宋" w:hAnsi="仿宋" w:eastAsia="仿宋" w:cs="仿宋"/>
                <w:b w:val="0"/>
                <w:bCs/>
                <w:color w:val="auto"/>
                <w:sz w:val="24"/>
                <w:szCs w:val="24"/>
                <w:highlight w:val="none"/>
              </w:rPr>
            </w:pPr>
            <w:r>
              <w:rPr>
                <w:rFonts w:hint="eastAsia" w:ascii="仿宋" w:hAnsi="仿宋" w:eastAsia="仿宋" w:cs="仿宋"/>
                <w:b w:val="0"/>
                <w:bCs/>
                <w:color w:val="auto"/>
                <w:sz w:val="24"/>
                <w:szCs w:val="24"/>
                <w:highlight w:val="none"/>
                <w:lang w:eastAsia="zh-CN"/>
              </w:rPr>
              <w:t>2</w:t>
            </w:r>
            <w:r>
              <w:rPr>
                <w:rFonts w:hint="eastAsia" w:ascii="仿宋" w:hAnsi="仿宋" w:eastAsia="仿宋" w:cs="仿宋"/>
                <w:b w:val="0"/>
                <w:bCs/>
                <w:color w:val="auto"/>
                <w:sz w:val="24"/>
                <w:szCs w:val="24"/>
                <w:highlight w:val="none"/>
                <w:lang w:val="en-US" w:eastAsia="zh-CN"/>
              </w:rPr>
              <w:t>.</w:t>
            </w:r>
            <w:r>
              <w:rPr>
                <w:rFonts w:hint="eastAsia" w:ascii="仿宋" w:hAnsi="仿宋" w:eastAsia="仿宋" w:cs="仿宋"/>
                <w:b w:val="0"/>
                <w:bCs/>
                <w:color w:val="auto"/>
                <w:sz w:val="24"/>
                <w:szCs w:val="24"/>
                <w:highlight w:val="none"/>
              </w:rPr>
              <w:t>运输车辆：投标人为本项目每配备一辆运输车得</w:t>
            </w:r>
            <w:r>
              <w:rPr>
                <w:rFonts w:hint="eastAsia" w:ascii="仿宋" w:hAnsi="仿宋" w:eastAsia="仿宋" w:cs="仿宋"/>
                <w:b w:val="0"/>
                <w:bCs/>
                <w:color w:val="auto"/>
                <w:sz w:val="24"/>
                <w:szCs w:val="24"/>
                <w:highlight w:val="none"/>
                <w:lang w:val="en-US" w:eastAsia="zh-CN"/>
              </w:rPr>
              <w:t>1.5</w:t>
            </w:r>
            <w:r>
              <w:rPr>
                <w:rFonts w:hint="eastAsia" w:ascii="仿宋" w:hAnsi="仿宋" w:eastAsia="仿宋" w:cs="仿宋"/>
                <w:b w:val="0"/>
                <w:bCs/>
                <w:color w:val="auto"/>
                <w:sz w:val="24"/>
                <w:szCs w:val="24"/>
                <w:highlight w:val="none"/>
              </w:rPr>
              <w:t>分，最高得</w:t>
            </w:r>
            <w:r>
              <w:rPr>
                <w:rFonts w:hint="eastAsia" w:ascii="仿宋" w:hAnsi="仿宋" w:eastAsia="仿宋" w:cs="仿宋"/>
                <w:b w:val="0"/>
                <w:bCs/>
                <w:color w:val="auto"/>
                <w:sz w:val="24"/>
                <w:szCs w:val="24"/>
                <w:highlight w:val="none"/>
                <w:lang w:val="en-US" w:eastAsia="zh-CN"/>
              </w:rPr>
              <w:t>3</w:t>
            </w:r>
            <w:r>
              <w:rPr>
                <w:rFonts w:hint="eastAsia" w:ascii="仿宋" w:hAnsi="仿宋" w:eastAsia="仿宋" w:cs="仿宋"/>
                <w:b w:val="0"/>
                <w:bCs/>
                <w:color w:val="auto"/>
                <w:sz w:val="24"/>
                <w:szCs w:val="24"/>
                <w:highlight w:val="none"/>
              </w:rPr>
              <w:t>分。</w:t>
            </w:r>
          </w:p>
          <w:p w14:paraId="04A81D29">
            <w:pPr>
              <w:keepNext w:val="0"/>
              <w:keepLines w:val="0"/>
              <w:pageBreakBefore w:val="0"/>
              <w:widowControl w:val="0"/>
              <w:kinsoku/>
              <w:wordWrap w:val="0"/>
              <w:overflowPunct w:val="0"/>
              <w:topLinePunct/>
              <w:autoSpaceDE/>
              <w:autoSpaceDN/>
              <w:bidi w:val="0"/>
              <w:adjustRightInd/>
              <w:snapToGrid/>
              <w:spacing w:line="500" w:lineRule="atLeast"/>
              <w:ind w:right="0" w:rightChars="0" w:firstLine="0" w:firstLineChars="0"/>
              <w:jc w:val="left"/>
              <w:textAlignment w:val="center"/>
              <w:rPr>
                <w:rFonts w:hint="eastAsia" w:ascii="仿宋" w:hAnsi="仿宋" w:eastAsia="仿宋" w:cs="仿宋"/>
                <w:b w:val="0"/>
                <w:bCs/>
                <w:color w:val="auto"/>
                <w:sz w:val="24"/>
                <w:szCs w:val="24"/>
                <w:highlight w:val="none"/>
                <w:lang w:val="en-US" w:eastAsia="en-US"/>
              </w:rPr>
            </w:pPr>
            <w:r>
              <w:rPr>
                <w:rFonts w:hint="eastAsia" w:ascii="仿宋" w:hAnsi="仿宋" w:eastAsia="仿宋" w:cs="仿宋"/>
                <w:b w:val="0"/>
                <w:bCs/>
                <w:color w:val="auto"/>
                <w:sz w:val="24"/>
                <w:szCs w:val="24"/>
                <w:highlight w:val="none"/>
              </w:rPr>
              <w:t>注:提供车辆行驶证、车辆购置发票（或租赁合同）加盖投标人公章，未提供不得分。</w:t>
            </w:r>
          </w:p>
        </w:tc>
        <w:tc>
          <w:tcPr>
            <w:tcW w:w="786" w:type="dxa"/>
            <w:noWrap w:val="0"/>
            <w:vAlign w:val="center"/>
          </w:tcPr>
          <w:p w14:paraId="4BB21571">
            <w:pPr>
              <w:keepNext w:val="0"/>
              <w:keepLines w:val="0"/>
              <w:pageBreakBefore w:val="0"/>
              <w:widowControl w:val="0"/>
              <w:kinsoku/>
              <w:wordWrap w:val="0"/>
              <w:overflowPunct w:val="0"/>
              <w:topLinePunct/>
              <w:autoSpaceDE/>
              <w:autoSpaceDN/>
              <w:bidi w:val="0"/>
              <w:adjustRightInd/>
              <w:snapToGrid/>
              <w:spacing w:line="500" w:lineRule="atLeast"/>
              <w:ind w:right="0" w:rightChars="0" w:firstLine="0" w:firstLineChars="0"/>
              <w:jc w:val="center"/>
              <w:textAlignment w:val="center"/>
              <w:rPr>
                <w:rFonts w:hint="eastAsia" w:ascii="仿宋" w:hAnsi="仿宋" w:eastAsia="仿宋" w:cs="仿宋"/>
                <w:b/>
                <w:bCs/>
                <w:color w:val="auto"/>
                <w:sz w:val="24"/>
                <w:szCs w:val="24"/>
                <w:highlight w:val="none"/>
                <w:lang w:val="en-US" w:eastAsia="zh-CN"/>
              </w:rPr>
            </w:pPr>
            <w:r>
              <w:rPr>
                <w:rFonts w:hint="eastAsia" w:ascii="仿宋" w:hAnsi="仿宋" w:eastAsia="仿宋" w:cs="仿宋"/>
                <w:b/>
                <w:bCs/>
                <w:color w:val="auto"/>
                <w:sz w:val="24"/>
                <w:szCs w:val="24"/>
                <w:highlight w:val="none"/>
                <w:lang w:val="en-US" w:eastAsia="zh-CN"/>
              </w:rPr>
              <w:t>客观</w:t>
            </w:r>
          </w:p>
        </w:tc>
      </w:tr>
    </w:tbl>
    <w:p w14:paraId="5F374F93">
      <w:pPr>
        <w:pStyle w:val="10"/>
      </w:pPr>
    </w:p>
    <w:p w14:paraId="7830B1A6">
      <w:pPr>
        <w:pStyle w:val="10"/>
      </w:pPr>
    </w:p>
    <w:p w14:paraId="7F1C2AE2">
      <w:pPr>
        <w:pStyle w:val="10"/>
      </w:pPr>
    </w:p>
    <w:p w14:paraId="76A60A6C">
      <w:pPr>
        <w:adjustRightInd w:val="0"/>
        <w:snapToGrid w:val="0"/>
        <w:spacing w:line="580" w:lineRule="exact"/>
        <w:ind w:firstLine="400" w:firstLineChars="200"/>
        <w:rPr>
          <w:rFonts w:hint="eastAsia" w:ascii="仿宋" w:hAnsi="仿宋" w:eastAsia="仿宋" w:cs="仿宋"/>
          <w:sz w:val="20"/>
        </w:rPr>
        <w:sectPr>
          <w:footerReference r:id="rId3" w:type="default"/>
          <w:pgSz w:w="11906" w:h="16838"/>
          <w:pgMar w:top="1440" w:right="1800" w:bottom="1440" w:left="1800" w:header="851" w:footer="992" w:gutter="0"/>
          <w:cols w:space="425" w:num="1"/>
          <w:docGrid w:type="lines" w:linePitch="312" w:charSpace="0"/>
        </w:sectPr>
      </w:pPr>
    </w:p>
    <w:p w14:paraId="5AEAC7D8">
      <w:pPr>
        <w:widowControl/>
        <w:adjustRightInd w:val="0"/>
        <w:snapToGrid w:val="0"/>
        <w:spacing w:line="580" w:lineRule="exact"/>
        <w:jc w:val="left"/>
        <w:outlineLvl w:val="0"/>
        <w:rPr>
          <w:rFonts w:hint="eastAsia" w:ascii="仿宋" w:hAnsi="仿宋" w:eastAsia="仿宋" w:cs="仿宋"/>
          <w:sz w:val="28"/>
          <w:szCs w:val="32"/>
        </w:rPr>
      </w:pPr>
      <w:r>
        <w:rPr>
          <w:rFonts w:hint="eastAsia" w:ascii="仿宋" w:hAnsi="仿宋" w:eastAsia="仿宋" w:cs="仿宋"/>
          <w:sz w:val="28"/>
          <w:szCs w:val="32"/>
        </w:rPr>
        <w:t>附件3：资格证明文件装订顺序</w:t>
      </w:r>
    </w:p>
    <w:p w14:paraId="7C0197FC">
      <w:pPr>
        <w:jc w:val="center"/>
        <w:rPr>
          <w:rFonts w:hint="eastAsia" w:ascii="仿宋" w:hAnsi="仿宋" w:eastAsia="仿宋" w:cs="仿宋"/>
          <w:bCs/>
          <w:kern w:val="0"/>
          <w:sz w:val="40"/>
          <w:szCs w:val="44"/>
          <w:shd w:val="clear" w:color="auto" w:fill="FFFFFF"/>
        </w:rPr>
      </w:pPr>
    </w:p>
    <w:p w14:paraId="64309BAD">
      <w:pPr>
        <w:widowControl/>
        <w:spacing w:line="660" w:lineRule="exact"/>
        <w:jc w:val="center"/>
        <w:rPr>
          <w:rFonts w:hint="eastAsia" w:ascii="方正小标宋简体" w:hAnsi="仿宋" w:eastAsia="方正小标宋简体" w:cs="仿宋"/>
          <w:kern w:val="0"/>
          <w:sz w:val="44"/>
          <w:szCs w:val="44"/>
        </w:rPr>
      </w:pPr>
      <w:r>
        <w:rPr>
          <w:rFonts w:hint="eastAsia" w:ascii="方正小标宋简体" w:hAnsi="仿宋" w:eastAsia="方正小标宋简体" w:cs="仿宋"/>
          <w:kern w:val="0"/>
          <w:sz w:val="44"/>
          <w:szCs w:val="44"/>
        </w:rPr>
        <w:t>资格证明文件装订顺序</w:t>
      </w:r>
    </w:p>
    <w:p w14:paraId="37D122E0">
      <w:pPr>
        <w:pStyle w:val="10"/>
      </w:pPr>
    </w:p>
    <w:p w14:paraId="6D33BBD8">
      <w:pPr>
        <w:widowControl/>
        <w:adjustRightInd w:val="0"/>
        <w:snapToGrid w:val="0"/>
        <w:spacing w:line="520" w:lineRule="exact"/>
        <w:ind w:firstLine="592" w:firstLineChars="200"/>
        <w:rPr>
          <w:rFonts w:hint="eastAsia" w:ascii="仿宋" w:hAnsi="仿宋" w:eastAsia="仿宋" w:cs="仿宋"/>
          <w:spacing w:val="8"/>
          <w:kern w:val="0"/>
          <w:sz w:val="28"/>
          <w:szCs w:val="32"/>
          <w:shd w:val="clear" w:color="auto" w:fill="FFFFFF"/>
        </w:rPr>
      </w:pPr>
      <w:r>
        <w:rPr>
          <w:rFonts w:hint="eastAsia" w:ascii="仿宋" w:hAnsi="仿宋" w:eastAsia="仿宋" w:cs="仿宋"/>
          <w:spacing w:val="8"/>
          <w:kern w:val="0"/>
          <w:sz w:val="28"/>
          <w:szCs w:val="32"/>
          <w:shd w:val="clear" w:color="auto" w:fill="FFFFFF"/>
        </w:rPr>
        <w:t>1.封面（注明包号、项目名称、公司名称、联系人、联系电话、加盖公司印章）。</w:t>
      </w:r>
    </w:p>
    <w:p w14:paraId="74BA50D1">
      <w:pPr>
        <w:widowControl/>
        <w:adjustRightInd w:val="0"/>
        <w:snapToGrid w:val="0"/>
        <w:spacing w:line="520" w:lineRule="exact"/>
        <w:ind w:firstLine="592" w:firstLineChars="200"/>
        <w:rPr>
          <w:rFonts w:hint="eastAsia" w:ascii="仿宋" w:hAnsi="仿宋" w:eastAsia="仿宋" w:cs="仿宋"/>
          <w:spacing w:val="8"/>
          <w:kern w:val="0"/>
          <w:sz w:val="28"/>
          <w:szCs w:val="32"/>
          <w:shd w:val="clear" w:color="auto" w:fill="FFFFFF"/>
        </w:rPr>
      </w:pPr>
      <w:r>
        <w:rPr>
          <w:rFonts w:hint="eastAsia" w:ascii="仿宋" w:hAnsi="仿宋" w:eastAsia="仿宋" w:cs="仿宋"/>
          <w:spacing w:val="8"/>
          <w:kern w:val="0"/>
          <w:sz w:val="28"/>
          <w:szCs w:val="32"/>
          <w:shd w:val="clear" w:color="auto" w:fill="FFFFFF"/>
        </w:rPr>
        <w:t>2.目录。</w:t>
      </w:r>
    </w:p>
    <w:p w14:paraId="2ABB4BCD">
      <w:pPr>
        <w:widowControl/>
        <w:adjustRightInd w:val="0"/>
        <w:snapToGrid w:val="0"/>
        <w:spacing w:line="520" w:lineRule="exact"/>
        <w:ind w:firstLine="592" w:firstLineChars="200"/>
        <w:rPr>
          <w:rFonts w:hint="eastAsia" w:ascii="仿宋" w:hAnsi="仿宋" w:eastAsia="仿宋" w:cs="仿宋"/>
          <w:spacing w:val="8"/>
          <w:kern w:val="0"/>
          <w:sz w:val="28"/>
          <w:szCs w:val="32"/>
          <w:shd w:val="clear" w:color="auto" w:fill="FFFFFF"/>
        </w:rPr>
      </w:pPr>
      <w:r>
        <w:rPr>
          <w:rFonts w:hint="eastAsia" w:ascii="仿宋" w:hAnsi="仿宋" w:eastAsia="仿宋" w:cs="仿宋"/>
          <w:spacing w:val="8"/>
          <w:kern w:val="0"/>
          <w:sz w:val="28"/>
          <w:szCs w:val="32"/>
          <w:shd w:val="clear" w:color="auto" w:fill="FFFFFF"/>
        </w:rPr>
        <w:t>3.有效的营业执照（副本）复印件。</w:t>
      </w:r>
    </w:p>
    <w:p w14:paraId="6E57C446">
      <w:pPr>
        <w:widowControl/>
        <w:adjustRightInd w:val="0"/>
        <w:snapToGrid w:val="0"/>
        <w:spacing w:line="520" w:lineRule="exact"/>
        <w:ind w:firstLine="592" w:firstLineChars="200"/>
        <w:rPr>
          <w:rFonts w:hint="eastAsia" w:ascii="仿宋" w:hAnsi="仿宋" w:eastAsia="仿宋" w:cs="仿宋"/>
          <w:spacing w:val="8"/>
          <w:kern w:val="0"/>
          <w:sz w:val="28"/>
          <w:szCs w:val="32"/>
          <w:shd w:val="clear" w:color="auto" w:fill="FFFFFF"/>
        </w:rPr>
      </w:pPr>
      <w:r>
        <w:rPr>
          <w:rFonts w:hint="eastAsia" w:ascii="仿宋" w:hAnsi="仿宋" w:eastAsia="仿宋" w:cs="仿宋"/>
          <w:spacing w:val="8"/>
          <w:kern w:val="0"/>
          <w:sz w:val="28"/>
          <w:szCs w:val="32"/>
          <w:shd w:val="clear" w:color="auto" w:fill="FFFFFF"/>
        </w:rPr>
        <w:t>4.授权参加本次采购活动的供应商代表证明。(供应商代表为“授权代表”时，提供授权委托书（格式见附件5-5）及身份证复印件；供应商代表为“法定代表人（单位负责人）”时，提供法定代表人（单位负责人）身份证明（格式见附件5-6）)。</w:t>
      </w:r>
    </w:p>
    <w:p w14:paraId="3811923D">
      <w:pPr>
        <w:widowControl/>
        <w:adjustRightInd w:val="0"/>
        <w:snapToGrid w:val="0"/>
        <w:spacing w:line="520" w:lineRule="exact"/>
        <w:ind w:firstLine="592" w:firstLineChars="200"/>
        <w:rPr>
          <w:rFonts w:hint="eastAsia" w:ascii="仿宋" w:hAnsi="仿宋" w:eastAsia="仿宋" w:cs="仿宋"/>
          <w:spacing w:val="8"/>
          <w:kern w:val="0"/>
          <w:sz w:val="28"/>
          <w:szCs w:val="32"/>
          <w:shd w:val="clear" w:color="auto" w:fill="FFFFFF"/>
        </w:rPr>
      </w:pPr>
      <w:r>
        <w:rPr>
          <w:rFonts w:hint="eastAsia" w:ascii="仿宋" w:hAnsi="仿宋" w:eastAsia="仿宋" w:cs="仿宋"/>
          <w:spacing w:val="8"/>
          <w:kern w:val="0"/>
          <w:sz w:val="28"/>
          <w:szCs w:val="32"/>
          <w:shd w:val="clear" w:color="auto" w:fill="FFFFFF"/>
        </w:rPr>
        <w:t>5.具有良好的商业信誉和健全的财务会计制度，提供承诺函。(格式自拟)</w:t>
      </w:r>
    </w:p>
    <w:p w14:paraId="1523FBB7">
      <w:pPr>
        <w:widowControl/>
        <w:adjustRightInd w:val="0"/>
        <w:snapToGrid w:val="0"/>
        <w:spacing w:line="520" w:lineRule="exact"/>
        <w:ind w:firstLine="592" w:firstLineChars="200"/>
        <w:rPr>
          <w:rFonts w:hint="eastAsia" w:ascii="仿宋" w:hAnsi="仿宋" w:eastAsia="仿宋" w:cs="仿宋"/>
          <w:spacing w:val="8"/>
          <w:kern w:val="0"/>
          <w:sz w:val="28"/>
          <w:szCs w:val="32"/>
          <w:shd w:val="clear" w:color="auto" w:fill="FFFFFF"/>
        </w:rPr>
      </w:pPr>
      <w:r>
        <w:rPr>
          <w:rFonts w:hint="eastAsia" w:ascii="仿宋" w:hAnsi="仿宋" w:eastAsia="仿宋" w:cs="仿宋"/>
          <w:spacing w:val="8"/>
          <w:kern w:val="0"/>
          <w:sz w:val="28"/>
          <w:szCs w:val="32"/>
          <w:shd w:val="clear" w:color="auto" w:fill="FFFFFF"/>
        </w:rPr>
        <w:t>6.具有履行合同所必须的设备和专业技术能力，提供承诺函。(格式自拟)</w:t>
      </w:r>
    </w:p>
    <w:p w14:paraId="207C4EE2">
      <w:pPr>
        <w:widowControl/>
        <w:adjustRightInd w:val="0"/>
        <w:snapToGrid w:val="0"/>
        <w:spacing w:line="520" w:lineRule="exact"/>
        <w:ind w:firstLine="592" w:firstLineChars="200"/>
        <w:rPr>
          <w:rFonts w:hint="eastAsia" w:ascii="仿宋" w:hAnsi="仿宋" w:eastAsia="仿宋" w:cs="仿宋"/>
          <w:spacing w:val="8"/>
          <w:kern w:val="0"/>
          <w:sz w:val="28"/>
          <w:szCs w:val="32"/>
          <w:shd w:val="clear" w:color="auto" w:fill="FFFFFF"/>
        </w:rPr>
      </w:pPr>
      <w:r>
        <w:rPr>
          <w:rFonts w:hint="eastAsia" w:ascii="仿宋" w:hAnsi="仿宋" w:eastAsia="仿宋" w:cs="仿宋"/>
          <w:spacing w:val="8"/>
          <w:kern w:val="0"/>
          <w:sz w:val="28"/>
          <w:szCs w:val="32"/>
          <w:shd w:val="clear" w:color="auto" w:fill="FFFFFF"/>
        </w:rPr>
        <w:t>7.具有依法缴纳税收和社会保障资金的良好记录，提供承诺函。(格式自拟)</w:t>
      </w:r>
    </w:p>
    <w:p w14:paraId="5BEAFECE">
      <w:pPr>
        <w:widowControl/>
        <w:adjustRightInd w:val="0"/>
        <w:snapToGrid w:val="0"/>
        <w:spacing w:line="520" w:lineRule="exact"/>
        <w:ind w:firstLine="592" w:firstLineChars="200"/>
        <w:rPr>
          <w:rFonts w:hint="eastAsia" w:ascii="仿宋" w:hAnsi="仿宋" w:eastAsia="仿宋" w:cs="仿宋"/>
          <w:spacing w:val="8"/>
          <w:kern w:val="0"/>
          <w:sz w:val="28"/>
          <w:szCs w:val="32"/>
          <w:shd w:val="clear" w:color="auto" w:fill="FFFFFF"/>
        </w:rPr>
      </w:pPr>
      <w:r>
        <w:rPr>
          <w:rFonts w:hint="eastAsia" w:ascii="仿宋" w:hAnsi="仿宋" w:eastAsia="仿宋" w:cs="仿宋"/>
          <w:spacing w:val="8"/>
          <w:kern w:val="0"/>
          <w:sz w:val="28"/>
          <w:szCs w:val="32"/>
          <w:shd w:val="clear" w:color="auto" w:fill="FFFFFF"/>
        </w:rPr>
        <w:t>8.参加本次采购活动前三年内，在经营活动中没有重大违法记录；没有因安全事故、质量事故、违规等被政府有关部门记录，提供承诺函。(格式自拟)</w:t>
      </w:r>
    </w:p>
    <w:p w14:paraId="613E0258">
      <w:pPr>
        <w:widowControl/>
        <w:adjustRightInd w:val="0"/>
        <w:snapToGrid w:val="0"/>
        <w:spacing w:line="520" w:lineRule="exact"/>
        <w:ind w:firstLine="592" w:firstLineChars="200"/>
        <w:rPr>
          <w:rFonts w:hint="eastAsia" w:ascii="仿宋" w:hAnsi="仿宋" w:eastAsia="仿宋" w:cs="仿宋"/>
          <w:spacing w:val="8"/>
          <w:kern w:val="0"/>
          <w:sz w:val="28"/>
          <w:szCs w:val="32"/>
          <w:shd w:val="clear" w:color="auto" w:fill="FFFFFF"/>
        </w:rPr>
      </w:pPr>
      <w:r>
        <w:rPr>
          <w:rFonts w:hint="eastAsia" w:ascii="仿宋" w:hAnsi="仿宋" w:eastAsia="仿宋" w:cs="仿宋"/>
          <w:spacing w:val="8"/>
          <w:kern w:val="0"/>
          <w:sz w:val="28"/>
          <w:szCs w:val="32"/>
          <w:shd w:val="clear" w:color="auto" w:fill="FFFFFF"/>
        </w:rPr>
        <w:t>9.供应商负责人为同一人或者存在控股、管理关系的不同单位，均视为同一参会供应商，不得重复参加采购，提供承诺函。(格式自拟)</w:t>
      </w:r>
    </w:p>
    <w:p w14:paraId="724971B0">
      <w:pPr>
        <w:widowControl/>
        <w:adjustRightInd w:val="0"/>
        <w:snapToGrid w:val="0"/>
        <w:spacing w:line="520" w:lineRule="exact"/>
        <w:ind w:firstLine="592" w:firstLineChars="200"/>
        <w:rPr>
          <w:rFonts w:hint="eastAsia" w:ascii="仿宋" w:hAnsi="仿宋" w:eastAsia="仿宋" w:cs="仿宋"/>
          <w:spacing w:val="8"/>
          <w:kern w:val="0"/>
          <w:sz w:val="28"/>
          <w:szCs w:val="28"/>
          <w:shd w:val="clear" w:color="auto" w:fill="FFFFFF"/>
          <w:lang w:val="en-US" w:eastAsia="zh-CN"/>
        </w:rPr>
      </w:pPr>
      <w:r>
        <w:rPr>
          <w:rFonts w:hint="eastAsia" w:ascii="仿宋" w:hAnsi="仿宋" w:eastAsia="仿宋" w:cs="仿宋"/>
          <w:spacing w:val="8"/>
          <w:kern w:val="0"/>
          <w:sz w:val="28"/>
          <w:szCs w:val="28"/>
          <w:shd w:val="clear" w:color="auto" w:fill="FFFFFF"/>
          <w:lang w:val="en-US" w:eastAsia="zh-CN"/>
        </w:rPr>
        <w:t>10.特殊资格条件</w:t>
      </w:r>
    </w:p>
    <w:p w14:paraId="15AA71D8">
      <w:pPr>
        <w:widowControl/>
        <w:adjustRightInd w:val="0"/>
        <w:snapToGrid w:val="0"/>
        <w:spacing w:line="520" w:lineRule="exact"/>
        <w:ind w:firstLine="592" w:firstLineChars="200"/>
        <w:rPr>
          <w:rFonts w:hint="eastAsia" w:ascii="仿宋" w:hAnsi="仿宋" w:eastAsia="仿宋" w:cs="仿宋"/>
          <w:spacing w:val="8"/>
          <w:kern w:val="0"/>
          <w:sz w:val="28"/>
          <w:szCs w:val="28"/>
          <w:shd w:val="clear" w:color="auto" w:fill="FFFFFF"/>
          <w:lang w:val="en-US" w:eastAsia="zh-CN"/>
        </w:rPr>
      </w:pPr>
      <w:r>
        <w:rPr>
          <w:rFonts w:hint="eastAsia" w:ascii="仿宋" w:hAnsi="仿宋" w:eastAsia="仿宋" w:cs="仿宋"/>
          <w:spacing w:val="8"/>
          <w:kern w:val="0"/>
          <w:sz w:val="28"/>
          <w:szCs w:val="28"/>
          <w:shd w:val="clear" w:color="auto" w:fill="FFFFFF"/>
          <w:lang w:val="en-US" w:eastAsia="zh-CN"/>
        </w:rPr>
        <w:t>10.1供应商提供有效期内的《危险废物经营许可证》核准经营危险废物类别包含：HW01医疗废物（841-004-01）复印件，加盖供应商公章。</w:t>
      </w:r>
    </w:p>
    <w:p w14:paraId="0A4A6CB4">
      <w:pPr>
        <w:widowControl/>
        <w:adjustRightInd w:val="0"/>
        <w:snapToGrid w:val="0"/>
        <w:spacing w:line="520" w:lineRule="exact"/>
        <w:ind w:firstLine="592" w:firstLineChars="200"/>
        <w:rPr>
          <w:rFonts w:hint="eastAsia" w:ascii="仿宋" w:hAnsi="仿宋" w:eastAsia="仿宋" w:cs="仿宋"/>
          <w:spacing w:val="8"/>
          <w:kern w:val="0"/>
          <w:sz w:val="28"/>
          <w:szCs w:val="28"/>
          <w:shd w:val="clear" w:color="auto" w:fill="FFFFFF"/>
          <w:lang w:val="en-US" w:eastAsia="zh-CN"/>
        </w:rPr>
      </w:pPr>
      <w:r>
        <w:rPr>
          <w:rFonts w:hint="eastAsia" w:ascii="仿宋" w:hAnsi="仿宋" w:eastAsia="仿宋" w:cs="仿宋"/>
          <w:spacing w:val="8"/>
          <w:kern w:val="0"/>
          <w:sz w:val="28"/>
          <w:szCs w:val="28"/>
          <w:shd w:val="clear" w:color="auto" w:fill="FFFFFF"/>
          <w:lang w:val="en-US" w:eastAsia="zh-CN"/>
        </w:rPr>
        <w:t>10.2供应商提供有效期内的《道路运输经营许可证》（经营范围包含“医疗废物”）复印件，加盖供应商公章或提供与具有《道路运输经营许可证》（经营范围包含“医疗废物”）的运输单位签订的协议复印件，并附上运输单位的资质复印件，加盖供应商公章。</w:t>
      </w:r>
    </w:p>
    <w:p w14:paraId="37D26FDC">
      <w:pPr>
        <w:pStyle w:val="2"/>
        <w:rPr>
          <w:rFonts w:hint="eastAsia" w:ascii="仿宋" w:hAnsi="仿宋" w:eastAsia="仿宋" w:cs="仿宋"/>
          <w:spacing w:val="8"/>
          <w:kern w:val="0"/>
          <w:sz w:val="28"/>
          <w:szCs w:val="32"/>
          <w:shd w:val="clear" w:color="auto" w:fill="FFFFFF"/>
          <w:lang w:val="en-US" w:eastAsia="zh-CN"/>
        </w:rPr>
      </w:pPr>
    </w:p>
    <w:p w14:paraId="5DDF52F5">
      <w:pPr>
        <w:rPr>
          <w:rFonts w:hint="default"/>
          <w:lang w:val="en-US" w:eastAsia="zh-CN"/>
        </w:rPr>
      </w:pPr>
    </w:p>
    <w:p w14:paraId="22ECDE2F">
      <w:pPr>
        <w:widowControl/>
        <w:adjustRightInd w:val="0"/>
        <w:snapToGrid w:val="0"/>
        <w:spacing w:line="400" w:lineRule="exact"/>
        <w:ind w:firstLine="800" w:firstLineChars="200"/>
        <w:rPr>
          <w:rFonts w:hint="eastAsia" w:ascii="仿宋" w:hAnsi="仿宋" w:eastAsia="仿宋" w:cs="仿宋"/>
          <w:bCs/>
          <w:kern w:val="0"/>
          <w:sz w:val="40"/>
          <w:szCs w:val="44"/>
          <w:shd w:val="clear" w:color="auto" w:fill="FFFFFF"/>
        </w:rPr>
      </w:pPr>
      <w:r>
        <w:rPr>
          <w:rFonts w:hint="eastAsia" w:ascii="仿宋" w:hAnsi="仿宋" w:eastAsia="仿宋" w:cs="仿宋"/>
          <w:bCs/>
          <w:kern w:val="0"/>
          <w:sz w:val="40"/>
          <w:szCs w:val="44"/>
          <w:shd w:val="clear" w:color="auto" w:fill="FFFFFF"/>
        </w:rPr>
        <w:br w:type="page"/>
      </w:r>
    </w:p>
    <w:p w14:paraId="74148058">
      <w:pPr>
        <w:widowControl/>
        <w:adjustRightInd w:val="0"/>
        <w:snapToGrid w:val="0"/>
        <w:spacing w:line="580" w:lineRule="exact"/>
        <w:jc w:val="left"/>
        <w:outlineLvl w:val="0"/>
        <w:rPr>
          <w:rFonts w:hint="eastAsia" w:ascii="仿宋" w:hAnsi="仿宋" w:eastAsia="仿宋" w:cs="仿宋"/>
          <w:bCs/>
          <w:kern w:val="0"/>
          <w:sz w:val="40"/>
          <w:szCs w:val="44"/>
          <w:shd w:val="clear" w:color="auto" w:fill="FFFFFF"/>
        </w:rPr>
      </w:pPr>
      <w:r>
        <w:rPr>
          <w:rFonts w:hint="eastAsia" w:ascii="仿宋" w:hAnsi="仿宋" w:eastAsia="仿宋" w:cs="仿宋"/>
          <w:sz w:val="28"/>
          <w:szCs w:val="32"/>
        </w:rPr>
        <w:t>附件4：采购响应文件装订顺序</w:t>
      </w:r>
    </w:p>
    <w:p w14:paraId="518CB6EA">
      <w:pPr>
        <w:widowControl/>
        <w:spacing w:line="660" w:lineRule="exact"/>
        <w:jc w:val="center"/>
        <w:rPr>
          <w:rFonts w:hint="eastAsia" w:ascii="方正小标宋简体" w:hAnsi="仿宋" w:eastAsia="方正小标宋简体" w:cs="仿宋"/>
          <w:kern w:val="0"/>
          <w:sz w:val="44"/>
          <w:szCs w:val="44"/>
        </w:rPr>
      </w:pPr>
      <w:r>
        <w:rPr>
          <w:rFonts w:hint="eastAsia" w:ascii="方正小标宋简体" w:hAnsi="仿宋" w:eastAsia="方正小标宋简体" w:cs="仿宋"/>
          <w:kern w:val="0"/>
          <w:sz w:val="44"/>
          <w:szCs w:val="44"/>
        </w:rPr>
        <w:t>采购响应文件装订顺序</w:t>
      </w:r>
    </w:p>
    <w:p w14:paraId="1E520E18">
      <w:pPr>
        <w:pStyle w:val="6"/>
        <w:rPr>
          <w:rFonts w:hint="eastAsia" w:ascii="仿宋" w:hAnsi="仿宋" w:eastAsia="仿宋" w:cs="仿宋"/>
        </w:rPr>
      </w:pPr>
    </w:p>
    <w:p w14:paraId="4CF37573">
      <w:pPr>
        <w:widowControl/>
        <w:adjustRightInd w:val="0"/>
        <w:snapToGrid w:val="0"/>
        <w:spacing w:line="520" w:lineRule="exact"/>
        <w:ind w:firstLine="592" w:firstLineChars="200"/>
        <w:rPr>
          <w:rFonts w:hint="eastAsia" w:ascii="仿宋" w:hAnsi="仿宋" w:eastAsia="仿宋" w:cs="仿宋"/>
          <w:spacing w:val="8"/>
          <w:kern w:val="0"/>
          <w:sz w:val="28"/>
          <w:szCs w:val="32"/>
          <w:shd w:val="clear" w:color="auto" w:fill="FFFFFF"/>
        </w:rPr>
      </w:pPr>
      <w:r>
        <w:rPr>
          <w:rFonts w:hint="eastAsia" w:ascii="仿宋" w:hAnsi="仿宋" w:eastAsia="仿宋" w:cs="仿宋"/>
          <w:spacing w:val="8"/>
          <w:kern w:val="0"/>
          <w:sz w:val="28"/>
          <w:szCs w:val="32"/>
          <w:shd w:val="clear" w:color="auto" w:fill="FFFFFF"/>
        </w:rPr>
        <w:t>1.封面（注明包号、项目名称、公司名称、联系人、联系电话、加盖公司印章）。</w:t>
      </w:r>
    </w:p>
    <w:p w14:paraId="32EDA89A">
      <w:pPr>
        <w:widowControl/>
        <w:adjustRightInd w:val="0"/>
        <w:snapToGrid w:val="0"/>
        <w:spacing w:line="520" w:lineRule="exact"/>
        <w:ind w:firstLine="592" w:firstLineChars="200"/>
        <w:rPr>
          <w:rFonts w:hint="eastAsia" w:ascii="仿宋" w:hAnsi="仿宋" w:eastAsia="仿宋" w:cs="仿宋"/>
          <w:spacing w:val="8"/>
          <w:kern w:val="0"/>
          <w:sz w:val="28"/>
          <w:szCs w:val="32"/>
          <w:shd w:val="clear" w:color="auto" w:fill="FFFFFF"/>
        </w:rPr>
      </w:pPr>
      <w:r>
        <w:rPr>
          <w:rFonts w:hint="eastAsia" w:ascii="仿宋" w:hAnsi="仿宋" w:eastAsia="仿宋" w:cs="仿宋"/>
          <w:spacing w:val="8"/>
          <w:kern w:val="0"/>
          <w:sz w:val="28"/>
          <w:szCs w:val="32"/>
          <w:shd w:val="clear" w:color="auto" w:fill="FFFFFF"/>
        </w:rPr>
        <w:t>2.目录。</w:t>
      </w:r>
    </w:p>
    <w:p w14:paraId="6269DE08">
      <w:pPr>
        <w:widowControl/>
        <w:adjustRightInd w:val="0"/>
        <w:snapToGrid w:val="0"/>
        <w:spacing w:line="520" w:lineRule="exact"/>
        <w:ind w:firstLine="592" w:firstLineChars="200"/>
        <w:rPr>
          <w:rFonts w:hint="eastAsia" w:ascii="仿宋" w:hAnsi="仿宋" w:eastAsia="仿宋" w:cs="仿宋"/>
          <w:spacing w:val="8"/>
          <w:kern w:val="0"/>
          <w:sz w:val="28"/>
          <w:szCs w:val="32"/>
          <w:shd w:val="clear" w:color="auto" w:fill="FFFFFF"/>
        </w:rPr>
      </w:pPr>
      <w:r>
        <w:rPr>
          <w:rFonts w:hint="eastAsia" w:ascii="仿宋" w:hAnsi="仿宋" w:eastAsia="仿宋" w:cs="仿宋"/>
          <w:spacing w:val="8"/>
          <w:kern w:val="0"/>
          <w:sz w:val="28"/>
          <w:szCs w:val="32"/>
          <w:shd w:val="clear" w:color="auto" w:fill="FFFFFF"/>
        </w:rPr>
        <w:t>3.报价一览表（格式见附件5-1）。</w:t>
      </w:r>
    </w:p>
    <w:p w14:paraId="1277BAB1">
      <w:pPr>
        <w:widowControl/>
        <w:adjustRightInd w:val="0"/>
        <w:snapToGrid w:val="0"/>
        <w:spacing w:line="520" w:lineRule="exact"/>
        <w:ind w:firstLine="592" w:firstLineChars="200"/>
        <w:rPr>
          <w:rFonts w:hint="eastAsia" w:ascii="仿宋" w:hAnsi="仿宋" w:eastAsia="仿宋" w:cs="仿宋"/>
          <w:spacing w:val="8"/>
          <w:kern w:val="0"/>
          <w:sz w:val="28"/>
          <w:szCs w:val="32"/>
          <w:shd w:val="clear" w:color="auto" w:fill="FFFFFF"/>
        </w:rPr>
      </w:pPr>
      <w:r>
        <w:rPr>
          <w:rFonts w:hint="eastAsia" w:ascii="仿宋" w:hAnsi="仿宋" w:eastAsia="仿宋" w:cs="仿宋"/>
          <w:spacing w:val="8"/>
          <w:kern w:val="0"/>
          <w:sz w:val="28"/>
          <w:szCs w:val="32"/>
          <w:shd w:val="clear" w:color="auto" w:fill="FFFFFF"/>
        </w:rPr>
        <w:t>4.技术、商务要求偏离表（格式见附件5-3）。</w:t>
      </w:r>
    </w:p>
    <w:p w14:paraId="1641CD5A">
      <w:pPr>
        <w:widowControl/>
        <w:adjustRightInd w:val="0"/>
        <w:snapToGrid w:val="0"/>
        <w:spacing w:line="520" w:lineRule="exact"/>
        <w:ind w:firstLine="592" w:firstLineChars="200"/>
        <w:rPr>
          <w:rFonts w:hint="eastAsia" w:ascii="仿宋" w:hAnsi="仿宋" w:eastAsia="仿宋" w:cs="仿宋"/>
          <w:spacing w:val="8"/>
          <w:kern w:val="0"/>
          <w:sz w:val="28"/>
          <w:szCs w:val="32"/>
          <w:shd w:val="clear" w:color="auto" w:fill="FFFFFF"/>
        </w:rPr>
      </w:pPr>
      <w:r>
        <w:rPr>
          <w:rFonts w:hint="eastAsia" w:ascii="仿宋" w:hAnsi="仿宋" w:eastAsia="仿宋" w:cs="仿宋"/>
          <w:spacing w:val="8"/>
          <w:kern w:val="0"/>
          <w:sz w:val="28"/>
          <w:szCs w:val="32"/>
          <w:shd w:val="clear" w:color="auto" w:fill="FFFFFF"/>
        </w:rPr>
        <w:t>5.售后服务承诺。</w:t>
      </w:r>
    </w:p>
    <w:p w14:paraId="756FC03F">
      <w:pPr>
        <w:widowControl/>
        <w:adjustRightInd w:val="0"/>
        <w:snapToGrid w:val="0"/>
        <w:spacing w:line="520" w:lineRule="exact"/>
        <w:ind w:firstLine="592" w:firstLineChars="200"/>
        <w:rPr>
          <w:rFonts w:hint="eastAsia" w:ascii="仿宋" w:hAnsi="仿宋" w:eastAsia="仿宋" w:cs="仿宋"/>
          <w:spacing w:val="8"/>
          <w:kern w:val="0"/>
          <w:sz w:val="28"/>
          <w:szCs w:val="32"/>
          <w:shd w:val="clear" w:color="auto" w:fill="FFFFFF"/>
        </w:rPr>
      </w:pPr>
      <w:r>
        <w:rPr>
          <w:rFonts w:hint="eastAsia" w:ascii="仿宋" w:hAnsi="仿宋" w:eastAsia="仿宋" w:cs="仿宋"/>
          <w:spacing w:val="8"/>
          <w:kern w:val="0"/>
          <w:sz w:val="28"/>
          <w:szCs w:val="32"/>
          <w:shd w:val="clear" w:color="auto" w:fill="FFFFFF"/>
        </w:rPr>
        <w:t>6.反商业贿赂承诺书（格式见附件6）。</w:t>
      </w:r>
    </w:p>
    <w:p w14:paraId="5B2F26D3">
      <w:pPr>
        <w:widowControl/>
        <w:adjustRightInd w:val="0"/>
        <w:snapToGrid w:val="0"/>
        <w:spacing w:line="520" w:lineRule="exact"/>
        <w:ind w:firstLine="592" w:firstLineChars="200"/>
        <w:rPr>
          <w:rFonts w:hint="eastAsia" w:ascii="仿宋" w:hAnsi="仿宋" w:eastAsia="仿宋" w:cs="仿宋"/>
          <w:spacing w:val="8"/>
          <w:kern w:val="0"/>
          <w:sz w:val="28"/>
          <w:szCs w:val="32"/>
          <w:shd w:val="clear" w:color="auto" w:fill="FFFFFF"/>
        </w:rPr>
      </w:pPr>
      <w:r>
        <w:rPr>
          <w:rFonts w:hint="eastAsia" w:ascii="仿宋" w:hAnsi="仿宋" w:eastAsia="仿宋" w:cs="仿宋"/>
          <w:spacing w:val="8"/>
          <w:kern w:val="0"/>
          <w:sz w:val="28"/>
          <w:szCs w:val="32"/>
          <w:shd w:val="clear" w:color="auto" w:fill="FFFFFF"/>
        </w:rPr>
        <w:t>7.禁止围标、串标情况承诺函（格式见附件7）。</w:t>
      </w:r>
    </w:p>
    <w:p w14:paraId="3AF142E5">
      <w:pPr>
        <w:widowControl/>
        <w:adjustRightInd w:val="0"/>
        <w:snapToGrid w:val="0"/>
        <w:spacing w:line="520" w:lineRule="exact"/>
        <w:ind w:firstLine="592" w:firstLineChars="200"/>
        <w:rPr>
          <w:rFonts w:hint="eastAsia" w:ascii="仿宋" w:hAnsi="仿宋" w:eastAsia="仿宋" w:cs="仿宋"/>
          <w:spacing w:val="8"/>
          <w:kern w:val="0"/>
          <w:sz w:val="28"/>
          <w:szCs w:val="32"/>
          <w:shd w:val="clear" w:color="auto" w:fill="FFFFFF"/>
        </w:rPr>
      </w:pPr>
      <w:r>
        <w:rPr>
          <w:rFonts w:hint="eastAsia" w:ascii="仿宋" w:hAnsi="仿宋" w:eastAsia="仿宋" w:cs="仿宋"/>
          <w:spacing w:val="8"/>
          <w:kern w:val="0"/>
          <w:sz w:val="28"/>
          <w:szCs w:val="32"/>
          <w:shd w:val="clear" w:color="auto" w:fill="FFFFFF"/>
        </w:rPr>
        <w:t>8.供应商遵守招标采购纪律承诺书（格式见附件8）。</w:t>
      </w:r>
    </w:p>
    <w:p w14:paraId="54A027A7">
      <w:pPr>
        <w:widowControl/>
        <w:adjustRightInd w:val="0"/>
        <w:snapToGrid w:val="0"/>
        <w:spacing w:line="520" w:lineRule="exact"/>
        <w:ind w:firstLine="592" w:firstLineChars="200"/>
        <w:rPr>
          <w:rFonts w:hint="eastAsia" w:ascii="仿宋" w:hAnsi="仿宋" w:eastAsia="仿宋" w:cs="仿宋"/>
          <w:spacing w:val="8"/>
          <w:kern w:val="0"/>
          <w:sz w:val="28"/>
          <w:szCs w:val="32"/>
          <w:shd w:val="clear" w:color="auto" w:fill="FFFFFF"/>
        </w:rPr>
      </w:pPr>
      <w:r>
        <w:rPr>
          <w:rFonts w:hint="eastAsia" w:ascii="仿宋" w:hAnsi="仿宋" w:eastAsia="仿宋" w:cs="仿宋"/>
          <w:spacing w:val="8"/>
          <w:kern w:val="0"/>
          <w:sz w:val="28"/>
          <w:szCs w:val="32"/>
          <w:shd w:val="clear" w:color="auto" w:fill="FFFFFF"/>
        </w:rPr>
        <w:t>9.行业相关规范或标准（如有）。</w:t>
      </w:r>
    </w:p>
    <w:p w14:paraId="1F1E110E">
      <w:pPr>
        <w:widowControl/>
        <w:adjustRightInd w:val="0"/>
        <w:snapToGrid w:val="0"/>
        <w:spacing w:line="520" w:lineRule="exact"/>
        <w:ind w:firstLine="592" w:firstLineChars="200"/>
        <w:rPr>
          <w:rFonts w:hint="eastAsia" w:ascii="仿宋" w:hAnsi="仿宋" w:eastAsia="仿宋" w:cs="仿宋"/>
          <w:spacing w:val="8"/>
          <w:kern w:val="0"/>
          <w:sz w:val="28"/>
          <w:szCs w:val="32"/>
          <w:shd w:val="clear" w:color="auto" w:fill="FFFFFF"/>
        </w:rPr>
      </w:pPr>
      <w:r>
        <w:rPr>
          <w:rFonts w:hint="eastAsia" w:ascii="仿宋" w:hAnsi="仿宋" w:eastAsia="仿宋" w:cs="仿宋"/>
          <w:spacing w:val="8"/>
          <w:kern w:val="0"/>
          <w:sz w:val="28"/>
          <w:szCs w:val="32"/>
          <w:shd w:val="clear" w:color="auto" w:fill="FFFFFF"/>
        </w:rPr>
        <w:t>10.供应商认为需要提供的其它资料。</w:t>
      </w:r>
    </w:p>
    <w:p w14:paraId="5F810254">
      <w:pPr>
        <w:widowControl/>
        <w:adjustRightInd w:val="0"/>
        <w:snapToGrid w:val="0"/>
        <w:spacing w:line="520" w:lineRule="exact"/>
        <w:ind w:firstLine="592" w:firstLineChars="200"/>
        <w:rPr>
          <w:rFonts w:hint="eastAsia" w:ascii="仿宋" w:hAnsi="仿宋" w:eastAsia="仿宋" w:cs="仿宋"/>
          <w:spacing w:val="8"/>
          <w:kern w:val="0"/>
          <w:sz w:val="28"/>
          <w:szCs w:val="32"/>
          <w:shd w:val="clear" w:color="auto" w:fill="FFFFFF"/>
        </w:rPr>
      </w:pPr>
      <w:r>
        <w:rPr>
          <w:rFonts w:hint="eastAsia" w:ascii="仿宋" w:hAnsi="仿宋" w:eastAsia="仿宋" w:cs="仿宋"/>
          <w:spacing w:val="8"/>
          <w:kern w:val="0"/>
          <w:sz w:val="28"/>
          <w:szCs w:val="32"/>
          <w:shd w:val="clear" w:color="auto" w:fill="FFFFFF"/>
        </w:rPr>
        <w:t>11.封底。</w:t>
      </w:r>
    </w:p>
    <w:p w14:paraId="73432BDA">
      <w:pPr>
        <w:widowControl/>
        <w:adjustRightInd w:val="0"/>
        <w:snapToGrid w:val="0"/>
        <w:spacing w:line="520" w:lineRule="exact"/>
        <w:ind w:firstLine="594" w:firstLineChars="200"/>
        <w:rPr>
          <w:rFonts w:hint="eastAsia" w:ascii="仿宋" w:hAnsi="仿宋" w:eastAsia="仿宋" w:cs="仿宋"/>
          <w:b/>
          <w:bCs/>
          <w:spacing w:val="8"/>
          <w:kern w:val="0"/>
          <w:sz w:val="28"/>
          <w:szCs w:val="32"/>
          <w:shd w:val="clear" w:color="auto" w:fill="FFFFFF"/>
        </w:rPr>
      </w:pPr>
      <w:r>
        <w:rPr>
          <w:rFonts w:hint="eastAsia" w:ascii="仿宋" w:hAnsi="仿宋" w:eastAsia="仿宋" w:cs="仿宋"/>
          <w:b/>
          <w:bCs/>
          <w:spacing w:val="8"/>
          <w:kern w:val="0"/>
          <w:sz w:val="28"/>
          <w:szCs w:val="32"/>
          <w:shd w:val="clear" w:color="auto" w:fill="FFFFFF"/>
        </w:rPr>
        <w:t>注：请务必按以上顺序装订资料，如有非中文资料，请同时提供中文翻译件。</w:t>
      </w:r>
    </w:p>
    <w:p w14:paraId="72F63424">
      <w:pPr>
        <w:widowControl/>
        <w:adjustRightInd w:val="0"/>
        <w:snapToGrid w:val="0"/>
        <w:spacing w:line="520" w:lineRule="exact"/>
        <w:ind w:firstLine="592" w:firstLineChars="200"/>
        <w:rPr>
          <w:rFonts w:hint="eastAsia" w:ascii="仿宋" w:hAnsi="仿宋" w:eastAsia="仿宋" w:cs="仿宋"/>
          <w:spacing w:val="8"/>
          <w:kern w:val="0"/>
          <w:sz w:val="28"/>
          <w:szCs w:val="32"/>
          <w:shd w:val="clear" w:color="auto" w:fill="FFFFFF"/>
        </w:rPr>
      </w:pPr>
    </w:p>
    <w:p w14:paraId="6A3B4349">
      <w:pPr>
        <w:adjustRightInd w:val="0"/>
        <w:snapToGrid w:val="0"/>
        <w:spacing w:line="400" w:lineRule="exact"/>
        <w:rPr>
          <w:rFonts w:hint="eastAsia" w:ascii="仿宋" w:hAnsi="仿宋" w:eastAsia="仿宋" w:cs="仿宋"/>
          <w:sz w:val="28"/>
          <w:szCs w:val="32"/>
        </w:rPr>
      </w:pPr>
    </w:p>
    <w:p w14:paraId="7E912B3F">
      <w:pPr>
        <w:adjustRightInd w:val="0"/>
        <w:snapToGrid w:val="0"/>
        <w:spacing w:line="580" w:lineRule="exact"/>
        <w:rPr>
          <w:rFonts w:hint="eastAsia" w:ascii="仿宋" w:hAnsi="仿宋" w:eastAsia="仿宋" w:cs="仿宋"/>
          <w:sz w:val="28"/>
          <w:szCs w:val="32"/>
        </w:rPr>
      </w:pPr>
    </w:p>
    <w:p w14:paraId="22350706">
      <w:pPr>
        <w:rPr>
          <w:rFonts w:hint="eastAsia" w:ascii="仿宋" w:hAnsi="仿宋" w:eastAsia="仿宋" w:cs="仿宋"/>
          <w:sz w:val="28"/>
          <w:szCs w:val="32"/>
        </w:rPr>
      </w:pPr>
      <w:r>
        <w:rPr>
          <w:rFonts w:hint="eastAsia" w:ascii="仿宋" w:hAnsi="仿宋" w:eastAsia="仿宋" w:cs="仿宋"/>
          <w:sz w:val="28"/>
          <w:szCs w:val="32"/>
        </w:rPr>
        <w:br w:type="page"/>
      </w:r>
    </w:p>
    <w:p w14:paraId="675B43D3">
      <w:pPr>
        <w:widowControl/>
        <w:adjustRightInd w:val="0"/>
        <w:snapToGrid w:val="0"/>
        <w:spacing w:line="580" w:lineRule="exact"/>
        <w:jc w:val="left"/>
        <w:outlineLvl w:val="0"/>
        <w:rPr>
          <w:rFonts w:hint="eastAsia" w:ascii="仿宋" w:hAnsi="仿宋" w:eastAsia="仿宋" w:cs="仿宋"/>
          <w:sz w:val="28"/>
          <w:szCs w:val="32"/>
        </w:rPr>
      </w:pPr>
      <w:r>
        <w:rPr>
          <w:rFonts w:hint="eastAsia" w:ascii="仿宋" w:hAnsi="仿宋" w:eastAsia="仿宋" w:cs="仿宋"/>
          <w:sz w:val="28"/>
          <w:szCs w:val="32"/>
        </w:rPr>
        <w:t>附件5：主要表格格式</w:t>
      </w:r>
    </w:p>
    <w:p w14:paraId="3345DCE8">
      <w:pPr>
        <w:widowControl/>
        <w:adjustRightInd w:val="0"/>
        <w:snapToGrid w:val="0"/>
        <w:spacing w:line="580" w:lineRule="exact"/>
        <w:jc w:val="left"/>
        <w:outlineLvl w:val="1"/>
        <w:rPr>
          <w:rFonts w:hint="eastAsia" w:ascii="仿宋" w:hAnsi="仿宋" w:eastAsia="仿宋" w:cs="仿宋"/>
          <w:sz w:val="28"/>
          <w:szCs w:val="32"/>
        </w:rPr>
      </w:pPr>
      <w:r>
        <w:rPr>
          <w:rFonts w:hint="eastAsia" w:ascii="仿宋" w:hAnsi="仿宋" w:eastAsia="仿宋" w:cs="仿宋"/>
          <w:sz w:val="28"/>
          <w:szCs w:val="32"/>
        </w:rPr>
        <w:t>附件5-1：</w:t>
      </w:r>
      <w:r>
        <w:rPr>
          <w:rFonts w:hint="eastAsia" w:ascii="仿宋" w:hAnsi="仿宋" w:eastAsia="仿宋" w:cs="仿宋"/>
          <w:sz w:val="28"/>
          <w:szCs w:val="32"/>
          <w:lang w:val="en-US" w:eastAsia="zh-CN"/>
        </w:rPr>
        <w:t>2026年安防设备、器材维修配件采购项目</w:t>
      </w:r>
      <w:r>
        <w:rPr>
          <w:rFonts w:hint="eastAsia" w:ascii="仿宋" w:hAnsi="仿宋" w:eastAsia="仿宋" w:cs="仿宋"/>
          <w:sz w:val="28"/>
          <w:szCs w:val="32"/>
        </w:rPr>
        <w:t>报价一览表</w:t>
      </w:r>
    </w:p>
    <w:p w14:paraId="1A386F4C">
      <w:pPr>
        <w:pStyle w:val="10"/>
      </w:pPr>
    </w:p>
    <w:p w14:paraId="0212873C">
      <w:pPr>
        <w:widowControl/>
        <w:spacing w:after="312" w:afterLines="100" w:line="660" w:lineRule="exact"/>
        <w:jc w:val="center"/>
        <w:rPr>
          <w:rFonts w:hint="eastAsia" w:ascii="方正小标宋简体" w:hAnsi="仿宋" w:eastAsia="方正小标宋简体" w:cs="仿宋"/>
          <w:b/>
          <w:bCs/>
          <w:kern w:val="0"/>
          <w:sz w:val="44"/>
          <w:szCs w:val="44"/>
        </w:rPr>
      </w:pPr>
      <w:r>
        <w:rPr>
          <w:rFonts w:hint="eastAsia" w:ascii="方正小标宋简体" w:hAnsi="仿宋" w:eastAsia="方正小标宋简体" w:cs="仿宋"/>
          <w:b/>
          <w:bCs/>
          <w:kern w:val="0"/>
          <w:sz w:val="44"/>
          <w:szCs w:val="44"/>
          <w:lang w:val="en-US" w:eastAsia="zh-CN"/>
        </w:rPr>
        <w:t>2026年安防设备、器材维修配件采购项目</w:t>
      </w:r>
      <w:r>
        <w:rPr>
          <w:rFonts w:hint="eastAsia" w:ascii="方正小标宋简体" w:hAnsi="仿宋" w:eastAsia="方正小标宋简体" w:cs="仿宋"/>
          <w:b/>
          <w:bCs/>
          <w:kern w:val="0"/>
          <w:sz w:val="44"/>
          <w:szCs w:val="44"/>
        </w:rPr>
        <w:t>报价一览表</w:t>
      </w:r>
    </w:p>
    <w:tbl>
      <w:tblPr>
        <w:tblStyle w:val="14"/>
        <w:tblW w:w="4950" w:type="pct"/>
        <w:jc w:val="center"/>
        <w:tblLayout w:type="autofit"/>
        <w:tblCellMar>
          <w:top w:w="0" w:type="dxa"/>
          <w:left w:w="0" w:type="dxa"/>
          <w:bottom w:w="0" w:type="dxa"/>
          <w:right w:w="0" w:type="dxa"/>
        </w:tblCellMar>
      </w:tblPr>
      <w:tblGrid>
        <w:gridCol w:w="681"/>
        <w:gridCol w:w="1915"/>
        <w:gridCol w:w="691"/>
        <w:gridCol w:w="681"/>
        <w:gridCol w:w="1436"/>
        <w:gridCol w:w="2839"/>
      </w:tblGrid>
      <w:tr w14:paraId="289377E5">
        <w:tblPrEx>
          <w:tblCellMar>
            <w:top w:w="0" w:type="dxa"/>
            <w:left w:w="0" w:type="dxa"/>
            <w:bottom w:w="0" w:type="dxa"/>
            <w:right w:w="0" w:type="dxa"/>
          </w:tblCellMar>
        </w:tblPrEx>
        <w:trPr>
          <w:trHeight w:val="771" w:hRule="atLeast"/>
          <w:jc w:val="center"/>
        </w:trPr>
        <w:tc>
          <w:tcPr>
            <w:tcW w:w="413"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BDACD5C">
            <w:pPr>
              <w:widowControl/>
              <w:spacing w:line="520" w:lineRule="atLeast"/>
              <w:jc w:val="center"/>
              <w:textAlignment w:val="center"/>
              <w:rPr>
                <w:rFonts w:hint="eastAsia" w:ascii="仿宋" w:hAnsi="仿宋" w:eastAsia="仿宋" w:cs="仿宋"/>
                <w:b/>
                <w:bCs/>
                <w:color w:val="000000"/>
                <w:kern w:val="0"/>
                <w:sz w:val="24"/>
                <w:lang w:bidi="ar"/>
              </w:rPr>
            </w:pPr>
            <w:r>
              <w:rPr>
                <w:rFonts w:hint="eastAsia" w:ascii="仿宋" w:hAnsi="仿宋" w:eastAsia="仿宋" w:cs="仿宋"/>
                <w:b/>
                <w:bCs/>
                <w:color w:val="000000"/>
                <w:kern w:val="0"/>
                <w:sz w:val="24"/>
                <w:lang w:bidi="ar"/>
              </w:rPr>
              <w:t>序号</w:t>
            </w:r>
          </w:p>
        </w:tc>
        <w:tc>
          <w:tcPr>
            <w:tcW w:w="1161"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404FD9E">
            <w:pPr>
              <w:widowControl/>
              <w:spacing w:line="520" w:lineRule="atLeast"/>
              <w:jc w:val="center"/>
              <w:textAlignment w:val="center"/>
              <w:rPr>
                <w:rFonts w:hint="eastAsia" w:ascii="仿宋" w:hAnsi="仿宋" w:eastAsia="仿宋" w:cs="仿宋"/>
                <w:b/>
                <w:bCs/>
                <w:color w:val="000000"/>
                <w:kern w:val="0"/>
                <w:sz w:val="24"/>
                <w:lang w:bidi="ar"/>
              </w:rPr>
            </w:pPr>
            <w:r>
              <w:rPr>
                <w:rFonts w:hint="eastAsia" w:ascii="仿宋" w:hAnsi="仿宋" w:eastAsia="仿宋" w:cs="仿宋"/>
                <w:b/>
                <w:bCs/>
                <w:color w:val="000000"/>
                <w:kern w:val="0"/>
                <w:sz w:val="24"/>
                <w:lang w:bidi="ar"/>
              </w:rPr>
              <w:t>标的名称</w:t>
            </w:r>
          </w:p>
        </w:tc>
        <w:tc>
          <w:tcPr>
            <w:tcW w:w="419" w:type="pct"/>
            <w:tcBorders>
              <w:top w:val="single" w:color="000000" w:sz="4" w:space="0"/>
              <w:left w:val="single" w:color="auto" w:sz="4" w:space="0"/>
              <w:bottom w:val="single" w:color="000000" w:sz="4" w:space="0"/>
              <w:right w:val="single" w:color="auto" w:sz="4" w:space="0"/>
            </w:tcBorders>
            <w:tcMar>
              <w:top w:w="15" w:type="dxa"/>
              <w:left w:w="15" w:type="dxa"/>
              <w:right w:w="15" w:type="dxa"/>
            </w:tcMar>
            <w:vAlign w:val="center"/>
          </w:tcPr>
          <w:p w14:paraId="3E8273E9">
            <w:pPr>
              <w:widowControl/>
              <w:adjustRightInd w:val="0"/>
              <w:snapToGrid w:val="0"/>
              <w:spacing w:line="520" w:lineRule="atLeast"/>
              <w:jc w:val="center"/>
              <w:rPr>
                <w:rFonts w:hint="eastAsia" w:ascii="仿宋" w:hAnsi="仿宋" w:eastAsia="仿宋" w:cs="仿宋"/>
                <w:b/>
                <w:bCs/>
                <w:color w:val="000000"/>
                <w:kern w:val="0"/>
                <w:sz w:val="24"/>
                <w:lang w:bidi="ar"/>
              </w:rPr>
            </w:pPr>
            <w:r>
              <w:rPr>
                <w:rFonts w:hint="eastAsia" w:ascii="仿宋" w:hAnsi="仿宋" w:eastAsia="仿宋" w:cs="仿宋"/>
                <w:b/>
                <w:bCs/>
                <w:color w:val="000000"/>
                <w:kern w:val="0"/>
                <w:sz w:val="24"/>
                <w:lang w:bidi="ar"/>
              </w:rPr>
              <w:t>计量单位</w:t>
            </w:r>
          </w:p>
        </w:tc>
        <w:tc>
          <w:tcPr>
            <w:tcW w:w="413" w:type="pct"/>
            <w:tcBorders>
              <w:top w:val="single" w:color="000000" w:sz="4" w:space="0"/>
              <w:left w:val="single" w:color="auto" w:sz="4" w:space="0"/>
              <w:bottom w:val="single" w:color="000000" w:sz="4" w:space="0"/>
              <w:right w:val="single" w:color="auto" w:sz="4" w:space="0"/>
            </w:tcBorders>
            <w:tcMar>
              <w:top w:w="15" w:type="dxa"/>
              <w:left w:w="15" w:type="dxa"/>
              <w:right w:w="15" w:type="dxa"/>
            </w:tcMar>
            <w:vAlign w:val="center"/>
          </w:tcPr>
          <w:p w14:paraId="2DA57F7F">
            <w:pPr>
              <w:widowControl/>
              <w:adjustRightInd w:val="0"/>
              <w:snapToGrid w:val="0"/>
              <w:spacing w:line="520" w:lineRule="atLeast"/>
              <w:jc w:val="center"/>
              <w:rPr>
                <w:rFonts w:hint="eastAsia" w:ascii="仿宋" w:hAnsi="仿宋" w:eastAsia="仿宋" w:cs="仿宋"/>
                <w:b/>
                <w:bCs/>
                <w:color w:val="000000"/>
                <w:kern w:val="0"/>
                <w:sz w:val="24"/>
                <w:lang w:bidi="ar"/>
              </w:rPr>
            </w:pPr>
            <w:r>
              <w:rPr>
                <w:rFonts w:hint="eastAsia" w:ascii="仿宋" w:hAnsi="仿宋" w:eastAsia="仿宋" w:cs="仿宋"/>
                <w:b/>
                <w:bCs/>
                <w:color w:val="000000"/>
                <w:kern w:val="0"/>
                <w:sz w:val="24"/>
                <w:lang w:bidi="ar"/>
              </w:rPr>
              <w:t>数量</w:t>
            </w:r>
          </w:p>
        </w:tc>
        <w:tc>
          <w:tcPr>
            <w:tcW w:w="871" w:type="pct"/>
            <w:tcBorders>
              <w:top w:val="single" w:color="000000" w:sz="4" w:space="0"/>
              <w:left w:val="single" w:color="auto" w:sz="4" w:space="0"/>
              <w:bottom w:val="single" w:color="000000" w:sz="4" w:space="0"/>
              <w:right w:val="single" w:color="auto" w:sz="4" w:space="0"/>
            </w:tcBorders>
            <w:tcMar>
              <w:top w:w="15" w:type="dxa"/>
              <w:left w:w="15" w:type="dxa"/>
              <w:right w:w="15" w:type="dxa"/>
            </w:tcMar>
            <w:vAlign w:val="center"/>
          </w:tcPr>
          <w:p w14:paraId="4118FA69">
            <w:pPr>
              <w:widowControl/>
              <w:adjustRightInd w:val="0"/>
              <w:snapToGrid w:val="0"/>
              <w:spacing w:line="520" w:lineRule="atLeast"/>
              <w:jc w:val="center"/>
              <w:rPr>
                <w:rFonts w:hint="eastAsia" w:ascii="仿宋" w:hAnsi="仿宋" w:eastAsia="仿宋" w:cs="仿宋"/>
                <w:b/>
                <w:bCs/>
                <w:color w:val="000000"/>
                <w:kern w:val="0"/>
                <w:sz w:val="24"/>
                <w:lang w:bidi="ar"/>
              </w:rPr>
            </w:pPr>
            <w:r>
              <w:rPr>
                <w:rFonts w:hint="eastAsia" w:ascii="仿宋" w:hAnsi="仿宋" w:eastAsia="仿宋" w:cs="仿宋"/>
                <w:b/>
                <w:bCs/>
                <w:color w:val="000000"/>
                <w:kern w:val="0"/>
                <w:sz w:val="24"/>
                <w:lang w:bidi="ar"/>
              </w:rPr>
              <w:t>最高限价</w:t>
            </w:r>
          </w:p>
          <w:p w14:paraId="764B6EB9">
            <w:pPr>
              <w:widowControl/>
              <w:adjustRightInd w:val="0"/>
              <w:snapToGrid w:val="0"/>
              <w:spacing w:line="520" w:lineRule="atLeast"/>
              <w:jc w:val="center"/>
              <w:rPr>
                <w:rFonts w:hint="eastAsia" w:ascii="仿宋" w:hAnsi="仿宋" w:eastAsia="仿宋" w:cs="仿宋"/>
                <w:b/>
                <w:bCs/>
                <w:color w:val="000000"/>
                <w:kern w:val="0"/>
                <w:sz w:val="24"/>
                <w:lang w:eastAsia="zh-CN" w:bidi="ar"/>
              </w:rPr>
            </w:pPr>
            <w:r>
              <w:rPr>
                <w:rFonts w:hint="eastAsia" w:ascii="仿宋" w:hAnsi="仿宋" w:eastAsia="仿宋" w:cs="仿宋"/>
                <w:b/>
                <w:bCs/>
                <w:color w:val="000000"/>
                <w:kern w:val="0"/>
                <w:sz w:val="24"/>
                <w:lang w:eastAsia="zh-CN" w:bidi="ar"/>
              </w:rPr>
              <w:t>（</w:t>
            </w:r>
            <w:r>
              <w:rPr>
                <w:rFonts w:hint="eastAsia" w:ascii="仿宋" w:hAnsi="仿宋" w:eastAsia="仿宋" w:cs="仿宋"/>
                <w:b/>
                <w:bCs/>
                <w:color w:val="000000"/>
                <w:kern w:val="0"/>
                <w:sz w:val="24"/>
                <w:lang w:val="en-US" w:eastAsia="zh-CN" w:bidi="ar"/>
              </w:rPr>
              <w:t>元</w:t>
            </w:r>
            <w:r>
              <w:rPr>
                <w:rFonts w:hint="eastAsia" w:ascii="仿宋" w:hAnsi="仿宋" w:eastAsia="仿宋" w:cs="仿宋"/>
                <w:b/>
                <w:bCs/>
                <w:color w:val="000000"/>
                <w:kern w:val="0"/>
                <w:sz w:val="24"/>
                <w:lang w:eastAsia="zh-CN" w:bidi="ar"/>
              </w:rPr>
              <w:t>）</w:t>
            </w:r>
          </w:p>
        </w:tc>
        <w:tc>
          <w:tcPr>
            <w:tcW w:w="1721" w:type="pct"/>
            <w:tcBorders>
              <w:top w:val="single" w:color="000000" w:sz="4" w:space="0"/>
              <w:left w:val="single" w:color="auto" w:sz="4" w:space="0"/>
              <w:bottom w:val="single" w:color="000000" w:sz="4" w:space="0"/>
              <w:right w:val="single" w:color="000000" w:sz="4" w:space="0"/>
            </w:tcBorders>
            <w:vAlign w:val="center"/>
          </w:tcPr>
          <w:p w14:paraId="46E3B494">
            <w:pPr>
              <w:widowControl/>
              <w:spacing w:line="520" w:lineRule="atLeast"/>
              <w:jc w:val="center"/>
              <w:textAlignment w:val="center"/>
              <w:rPr>
                <w:rFonts w:hint="eastAsia" w:ascii="仿宋" w:hAnsi="仿宋" w:eastAsia="仿宋" w:cs="仿宋"/>
                <w:b/>
                <w:bCs/>
                <w:color w:val="000000"/>
                <w:kern w:val="0"/>
                <w:sz w:val="24"/>
                <w:lang w:bidi="ar"/>
              </w:rPr>
            </w:pPr>
            <w:r>
              <w:rPr>
                <w:rFonts w:hint="eastAsia" w:ascii="仿宋" w:hAnsi="仿宋" w:eastAsia="仿宋" w:cs="仿宋"/>
                <w:b/>
                <w:bCs/>
                <w:color w:val="000000"/>
                <w:kern w:val="0"/>
                <w:sz w:val="24"/>
                <w:lang w:bidi="ar"/>
              </w:rPr>
              <w:t>报价（</w:t>
            </w:r>
            <w:r>
              <w:rPr>
                <w:rFonts w:hint="eastAsia" w:ascii="仿宋" w:hAnsi="仿宋" w:eastAsia="仿宋" w:cs="仿宋"/>
                <w:b/>
                <w:bCs/>
                <w:color w:val="000000"/>
                <w:kern w:val="0"/>
                <w:sz w:val="24"/>
                <w:lang w:val="en-US" w:eastAsia="zh-CN" w:bidi="ar"/>
              </w:rPr>
              <w:t>统一折扣%</w:t>
            </w:r>
            <w:r>
              <w:rPr>
                <w:rFonts w:hint="eastAsia" w:ascii="仿宋" w:hAnsi="仿宋" w:eastAsia="仿宋" w:cs="仿宋"/>
                <w:b/>
                <w:bCs/>
                <w:color w:val="000000"/>
                <w:kern w:val="0"/>
                <w:sz w:val="24"/>
                <w:lang w:bidi="ar"/>
              </w:rPr>
              <w:t>）</w:t>
            </w:r>
          </w:p>
        </w:tc>
      </w:tr>
      <w:tr w14:paraId="62C79D82">
        <w:tblPrEx>
          <w:tblCellMar>
            <w:top w:w="0" w:type="dxa"/>
            <w:left w:w="0" w:type="dxa"/>
            <w:bottom w:w="0" w:type="dxa"/>
            <w:right w:w="0" w:type="dxa"/>
          </w:tblCellMar>
        </w:tblPrEx>
        <w:trPr>
          <w:trHeight w:val="715" w:hRule="atLeast"/>
          <w:jc w:val="center"/>
        </w:trPr>
        <w:tc>
          <w:tcPr>
            <w:tcW w:w="413" w:type="pct"/>
            <w:vMerge w:val="restart"/>
            <w:tcBorders>
              <w:top w:val="single" w:color="000000" w:sz="4" w:space="0"/>
              <w:left w:val="single" w:color="000000" w:sz="4" w:space="0"/>
              <w:right w:val="single" w:color="000000" w:sz="4" w:space="0"/>
            </w:tcBorders>
            <w:tcMar>
              <w:top w:w="15" w:type="dxa"/>
              <w:left w:w="15" w:type="dxa"/>
              <w:right w:w="15" w:type="dxa"/>
            </w:tcMar>
            <w:vAlign w:val="center"/>
          </w:tcPr>
          <w:p w14:paraId="3C6B55C6">
            <w:pPr>
              <w:spacing w:line="520" w:lineRule="atLeast"/>
              <w:jc w:val="center"/>
              <w:rPr>
                <w:rFonts w:hint="eastAsia" w:ascii="仿宋" w:hAnsi="仿宋" w:eastAsia="仿宋" w:cs="仿宋"/>
                <w:b/>
                <w:bCs/>
                <w:color w:val="000000"/>
                <w:kern w:val="0"/>
                <w:sz w:val="24"/>
                <w:lang w:bidi="ar"/>
              </w:rPr>
            </w:pPr>
            <w:r>
              <w:rPr>
                <w:rFonts w:hint="eastAsia" w:ascii="仿宋" w:hAnsi="仿宋" w:eastAsia="仿宋" w:cs="仿宋"/>
                <w:sz w:val="24"/>
              </w:rPr>
              <w:t>1</w:t>
            </w:r>
          </w:p>
        </w:tc>
        <w:tc>
          <w:tcPr>
            <w:tcW w:w="1161" w:type="pct"/>
            <w:vMerge w:val="restart"/>
            <w:tcBorders>
              <w:top w:val="single" w:color="000000" w:sz="4" w:space="0"/>
              <w:left w:val="single" w:color="000000" w:sz="4" w:space="0"/>
              <w:right w:val="single" w:color="000000" w:sz="4" w:space="0"/>
            </w:tcBorders>
            <w:tcMar>
              <w:top w:w="15" w:type="dxa"/>
              <w:left w:w="15" w:type="dxa"/>
              <w:right w:w="15" w:type="dxa"/>
            </w:tcMar>
            <w:vAlign w:val="center"/>
          </w:tcPr>
          <w:p w14:paraId="7CC64EA3">
            <w:pPr>
              <w:spacing w:line="520" w:lineRule="atLeast"/>
              <w:jc w:val="center"/>
              <w:rPr>
                <w:rFonts w:hint="eastAsia" w:ascii="仿宋" w:hAnsi="仿宋" w:eastAsia="仿宋" w:cs="仿宋"/>
                <w:b/>
                <w:bCs/>
                <w:color w:val="000000"/>
                <w:kern w:val="0"/>
                <w:sz w:val="24"/>
                <w:lang w:eastAsia="zh-CN" w:bidi="ar"/>
              </w:rPr>
            </w:pPr>
            <w:r>
              <w:rPr>
                <w:rFonts w:hint="eastAsia" w:ascii="仿宋" w:hAnsi="仿宋" w:eastAsia="仿宋" w:cs="仿宋"/>
                <w:color w:val="000000" w:themeColor="text1"/>
                <w:sz w:val="24"/>
                <w:lang w:eastAsia="zh-CN"/>
                <w14:textFill>
                  <w14:solidFill>
                    <w14:schemeClr w14:val="tx1"/>
                  </w14:solidFill>
                </w14:textFill>
              </w:rPr>
              <w:t>2026年安防设备、器材维修配件采购项目</w:t>
            </w:r>
          </w:p>
        </w:tc>
        <w:tc>
          <w:tcPr>
            <w:tcW w:w="419" w:type="pct"/>
            <w:vMerge w:val="restart"/>
            <w:tcBorders>
              <w:top w:val="single" w:color="000000" w:sz="4" w:space="0"/>
              <w:left w:val="single" w:color="auto" w:sz="4" w:space="0"/>
              <w:right w:val="single" w:color="auto" w:sz="4" w:space="0"/>
            </w:tcBorders>
            <w:tcMar>
              <w:top w:w="15" w:type="dxa"/>
              <w:left w:w="15" w:type="dxa"/>
              <w:right w:w="15" w:type="dxa"/>
            </w:tcMar>
            <w:vAlign w:val="center"/>
          </w:tcPr>
          <w:p w14:paraId="5EC3CEE1">
            <w:pPr>
              <w:widowControl/>
              <w:spacing w:line="520" w:lineRule="atLeast"/>
              <w:jc w:val="center"/>
              <w:rPr>
                <w:rFonts w:hint="eastAsia" w:ascii="仿宋" w:hAnsi="仿宋" w:eastAsia="仿宋" w:cs="仿宋"/>
                <w:color w:val="000000" w:themeColor="text1"/>
                <w:szCs w:val="21"/>
                <w:lang w:eastAsia="zh-CN"/>
                <w14:textFill>
                  <w14:solidFill>
                    <w14:schemeClr w14:val="tx1"/>
                  </w14:solidFill>
                </w14:textFill>
              </w:rPr>
            </w:pPr>
            <w:r>
              <w:rPr>
                <w:rFonts w:hint="eastAsia" w:ascii="仿宋" w:hAnsi="仿宋" w:eastAsia="仿宋" w:cs="仿宋"/>
                <w:color w:val="000000" w:themeColor="text1"/>
                <w:sz w:val="24"/>
                <w:lang w:val="en-US" w:eastAsia="zh-CN"/>
                <w14:textFill>
                  <w14:solidFill>
                    <w14:schemeClr w14:val="tx1"/>
                  </w14:solidFill>
                </w14:textFill>
              </w:rPr>
              <w:t>年</w:t>
            </w:r>
          </w:p>
        </w:tc>
        <w:tc>
          <w:tcPr>
            <w:tcW w:w="413" w:type="pct"/>
            <w:vMerge w:val="restart"/>
            <w:tcBorders>
              <w:top w:val="single" w:color="000000" w:sz="4" w:space="0"/>
              <w:left w:val="single" w:color="auto" w:sz="4" w:space="0"/>
              <w:right w:val="single" w:color="auto" w:sz="4" w:space="0"/>
            </w:tcBorders>
            <w:tcMar>
              <w:top w:w="15" w:type="dxa"/>
              <w:left w:w="15" w:type="dxa"/>
              <w:right w:w="15" w:type="dxa"/>
            </w:tcMar>
            <w:vAlign w:val="center"/>
          </w:tcPr>
          <w:p w14:paraId="18E47DC2">
            <w:pPr>
              <w:widowControl/>
              <w:spacing w:line="520" w:lineRule="atLeast"/>
              <w:jc w:val="center"/>
              <w:rPr>
                <w:rFonts w:hint="eastAsia" w:ascii="仿宋" w:hAnsi="仿宋" w:eastAsia="仿宋" w:cs="仿宋"/>
                <w:b/>
                <w:bCs/>
                <w:color w:val="000000"/>
                <w:kern w:val="0"/>
                <w:sz w:val="24"/>
                <w:lang w:bidi="ar"/>
              </w:rPr>
            </w:pPr>
            <w:r>
              <w:rPr>
                <w:rFonts w:hint="eastAsia" w:ascii="仿宋" w:hAnsi="仿宋" w:eastAsia="仿宋" w:cs="仿宋"/>
                <w:color w:val="000000" w:themeColor="text1"/>
                <w:sz w:val="24"/>
                <w14:textFill>
                  <w14:solidFill>
                    <w14:schemeClr w14:val="tx1"/>
                  </w14:solidFill>
                </w14:textFill>
              </w:rPr>
              <w:t>1</w:t>
            </w:r>
          </w:p>
        </w:tc>
        <w:tc>
          <w:tcPr>
            <w:tcW w:w="871" w:type="pct"/>
            <w:vMerge w:val="restart"/>
            <w:tcBorders>
              <w:top w:val="single" w:color="000000" w:sz="4" w:space="0"/>
              <w:left w:val="single" w:color="auto" w:sz="4" w:space="0"/>
              <w:right w:val="single" w:color="auto" w:sz="4" w:space="0"/>
            </w:tcBorders>
            <w:tcMar>
              <w:top w:w="15" w:type="dxa"/>
              <w:left w:w="15" w:type="dxa"/>
              <w:right w:w="15" w:type="dxa"/>
            </w:tcMar>
            <w:vAlign w:val="center"/>
          </w:tcPr>
          <w:p w14:paraId="10B94429">
            <w:pPr>
              <w:widowControl/>
              <w:spacing w:line="520" w:lineRule="atLeast"/>
              <w:jc w:val="center"/>
              <w:rPr>
                <w:rFonts w:hint="default" w:ascii="仿宋" w:hAnsi="仿宋" w:eastAsia="仿宋" w:cs="仿宋"/>
                <w:color w:val="000000"/>
                <w:kern w:val="0"/>
                <w:sz w:val="24"/>
                <w:lang w:val="en-US" w:eastAsia="zh-CN" w:bidi="ar"/>
              </w:rPr>
            </w:pPr>
            <w:r>
              <w:rPr>
                <w:rFonts w:hint="eastAsia" w:ascii="仿宋" w:hAnsi="仿宋" w:eastAsia="仿宋" w:cs="仿宋"/>
                <w:color w:val="000000" w:themeColor="text1"/>
                <w:sz w:val="24"/>
                <w:lang w:val="en-US" w:eastAsia="zh-CN"/>
                <w14:textFill>
                  <w14:solidFill>
                    <w14:schemeClr w14:val="tx1"/>
                  </w14:solidFill>
                </w14:textFill>
              </w:rPr>
              <w:t>详见技术要求</w:t>
            </w:r>
          </w:p>
        </w:tc>
        <w:tc>
          <w:tcPr>
            <w:tcW w:w="1721" w:type="pct"/>
            <w:tcBorders>
              <w:top w:val="single" w:color="000000" w:sz="4" w:space="0"/>
              <w:left w:val="single" w:color="auto" w:sz="4" w:space="0"/>
              <w:bottom w:val="single" w:color="auto" w:sz="4" w:space="0"/>
              <w:right w:val="single" w:color="000000" w:sz="4" w:space="0"/>
            </w:tcBorders>
            <w:vAlign w:val="center"/>
          </w:tcPr>
          <w:p w14:paraId="2E7893B7">
            <w:pPr>
              <w:widowControl/>
              <w:spacing w:line="520" w:lineRule="atLeast"/>
              <w:jc w:val="center"/>
              <w:rPr>
                <w:rFonts w:hint="eastAsia" w:ascii="仿宋" w:hAnsi="仿宋" w:eastAsia="仿宋" w:cs="仿宋"/>
                <w:b/>
                <w:bCs/>
                <w:kern w:val="0"/>
                <w:sz w:val="24"/>
                <w:lang w:bidi="ar"/>
              </w:rPr>
            </w:pPr>
            <w:r>
              <w:rPr>
                <w:rFonts w:hint="eastAsia" w:ascii="仿宋" w:hAnsi="仿宋" w:eastAsia="仿宋" w:cs="仿宋"/>
                <w:b w:val="0"/>
                <w:bCs w:val="0"/>
                <w:kern w:val="0"/>
                <w:sz w:val="24"/>
                <w:lang w:val="en-US" w:eastAsia="zh-CN" w:bidi="ar"/>
              </w:rPr>
              <w:t>常用安防系统及设备器材</w:t>
            </w:r>
            <w:r>
              <w:rPr>
                <w:rFonts w:hint="eastAsia" w:ascii="仿宋" w:hAnsi="仿宋" w:eastAsia="仿宋" w:cs="仿宋"/>
                <w:b w:val="0"/>
                <w:bCs w:val="0"/>
                <w:kern w:val="0"/>
                <w:sz w:val="24"/>
                <w:lang w:val="en-US" w:eastAsia="en-US" w:bidi="ar"/>
              </w:rPr>
              <w:t>报价</w:t>
            </w:r>
            <w:r>
              <w:rPr>
                <w:rFonts w:hint="eastAsia" w:ascii="仿宋" w:hAnsi="仿宋" w:eastAsia="仿宋" w:cs="仿宋"/>
                <w:b w:val="0"/>
                <w:bCs w:val="0"/>
                <w:kern w:val="0"/>
                <w:sz w:val="24"/>
                <w:lang w:val="en-US" w:eastAsia="zh-CN" w:bidi="ar"/>
              </w:rPr>
              <w:t>：</w:t>
            </w:r>
            <w:r>
              <w:rPr>
                <w:rFonts w:hint="eastAsia" w:ascii="仿宋" w:hAnsi="仿宋" w:eastAsia="仿宋" w:cs="仿宋"/>
                <w:b w:val="0"/>
                <w:bCs w:val="0"/>
                <w:kern w:val="0"/>
                <w:sz w:val="24"/>
                <w:u w:val="single"/>
                <w:lang w:val="en-US" w:eastAsia="zh-CN" w:bidi="ar"/>
              </w:rPr>
              <w:t xml:space="preserve">      %</w:t>
            </w:r>
          </w:p>
        </w:tc>
      </w:tr>
      <w:tr w14:paraId="2012174F">
        <w:tblPrEx>
          <w:tblCellMar>
            <w:top w:w="0" w:type="dxa"/>
            <w:left w:w="0" w:type="dxa"/>
            <w:bottom w:w="0" w:type="dxa"/>
            <w:right w:w="0" w:type="dxa"/>
          </w:tblCellMar>
        </w:tblPrEx>
        <w:trPr>
          <w:trHeight w:val="870" w:hRule="atLeast"/>
          <w:jc w:val="center"/>
        </w:trPr>
        <w:tc>
          <w:tcPr>
            <w:tcW w:w="413" w:type="pct"/>
            <w:vMerge w:val="continue"/>
            <w:tcBorders>
              <w:left w:val="single" w:color="000000" w:sz="4" w:space="0"/>
              <w:bottom w:val="single" w:color="000000" w:sz="4" w:space="0"/>
              <w:right w:val="single" w:color="000000" w:sz="4" w:space="0"/>
            </w:tcBorders>
            <w:tcMar>
              <w:top w:w="15" w:type="dxa"/>
              <w:left w:w="15" w:type="dxa"/>
              <w:right w:w="15" w:type="dxa"/>
            </w:tcMar>
            <w:vAlign w:val="center"/>
          </w:tcPr>
          <w:p w14:paraId="6C12B895">
            <w:pPr>
              <w:spacing w:line="520" w:lineRule="atLeast"/>
              <w:jc w:val="center"/>
              <w:rPr>
                <w:rFonts w:hint="eastAsia" w:ascii="仿宋" w:hAnsi="仿宋" w:eastAsia="仿宋" w:cs="仿宋"/>
                <w:sz w:val="24"/>
              </w:rPr>
            </w:pPr>
          </w:p>
        </w:tc>
        <w:tc>
          <w:tcPr>
            <w:tcW w:w="1161" w:type="pct"/>
            <w:vMerge w:val="continue"/>
            <w:tcBorders>
              <w:left w:val="single" w:color="000000" w:sz="4" w:space="0"/>
              <w:bottom w:val="single" w:color="000000" w:sz="4" w:space="0"/>
              <w:right w:val="single" w:color="000000" w:sz="4" w:space="0"/>
            </w:tcBorders>
            <w:tcMar>
              <w:top w:w="15" w:type="dxa"/>
              <w:left w:w="15" w:type="dxa"/>
              <w:right w:w="15" w:type="dxa"/>
            </w:tcMar>
            <w:vAlign w:val="center"/>
          </w:tcPr>
          <w:p w14:paraId="5356C166">
            <w:pPr>
              <w:spacing w:line="520" w:lineRule="atLeast"/>
              <w:jc w:val="center"/>
              <w:rPr>
                <w:rFonts w:hint="eastAsia" w:ascii="仿宋" w:hAnsi="仿宋" w:eastAsia="仿宋" w:cs="仿宋"/>
                <w:color w:val="000000" w:themeColor="text1"/>
                <w:sz w:val="24"/>
                <w:lang w:eastAsia="zh-CN"/>
                <w14:textFill>
                  <w14:solidFill>
                    <w14:schemeClr w14:val="tx1"/>
                  </w14:solidFill>
                </w14:textFill>
              </w:rPr>
            </w:pPr>
          </w:p>
        </w:tc>
        <w:tc>
          <w:tcPr>
            <w:tcW w:w="419" w:type="pct"/>
            <w:vMerge w:val="continue"/>
            <w:tcBorders>
              <w:left w:val="single" w:color="auto" w:sz="4" w:space="0"/>
              <w:bottom w:val="single" w:color="000000" w:sz="4" w:space="0"/>
              <w:right w:val="single" w:color="auto" w:sz="4" w:space="0"/>
            </w:tcBorders>
            <w:tcMar>
              <w:top w:w="15" w:type="dxa"/>
              <w:left w:w="15" w:type="dxa"/>
              <w:right w:w="15" w:type="dxa"/>
            </w:tcMar>
            <w:vAlign w:val="center"/>
          </w:tcPr>
          <w:p w14:paraId="7D1F07BB">
            <w:pPr>
              <w:widowControl/>
              <w:spacing w:line="520" w:lineRule="atLeast"/>
              <w:jc w:val="center"/>
              <w:rPr>
                <w:rFonts w:hint="eastAsia" w:ascii="仿宋" w:hAnsi="仿宋" w:eastAsia="仿宋" w:cs="仿宋"/>
                <w:color w:val="000000" w:themeColor="text1"/>
                <w:sz w:val="24"/>
                <w14:textFill>
                  <w14:solidFill>
                    <w14:schemeClr w14:val="tx1"/>
                  </w14:solidFill>
                </w14:textFill>
              </w:rPr>
            </w:pPr>
          </w:p>
        </w:tc>
        <w:tc>
          <w:tcPr>
            <w:tcW w:w="413" w:type="pct"/>
            <w:vMerge w:val="continue"/>
            <w:tcBorders>
              <w:left w:val="single" w:color="auto" w:sz="4" w:space="0"/>
              <w:bottom w:val="single" w:color="000000" w:sz="4" w:space="0"/>
              <w:right w:val="single" w:color="auto" w:sz="4" w:space="0"/>
            </w:tcBorders>
            <w:tcMar>
              <w:top w:w="15" w:type="dxa"/>
              <w:left w:w="15" w:type="dxa"/>
              <w:right w:w="15" w:type="dxa"/>
            </w:tcMar>
            <w:vAlign w:val="center"/>
          </w:tcPr>
          <w:p w14:paraId="2B57B160">
            <w:pPr>
              <w:widowControl/>
              <w:spacing w:line="520" w:lineRule="atLeast"/>
              <w:jc w:val="center"/>
              <w:rPr>
                <w:rFonts w:hint="eastAsia" w:ascii="仿宋" w:hAnsi="仿宋" w:eastAsia="仿宋" w:cs="仿宋"/>
                <w:color w:val="000000" w:themeColor="text1"/>
                <w:sz w:val="24"/>
                <w14:textFill>
                  <w14:solidFill>
                    <w14:schemeClr w14:val="tx1"/>
                  </w14:solidFill>
                </w14:textFill>
              </w:rPr>
            </w:pPr>
          </w:p>
        </w:tc>
        <w:tc>
          <w:tcPr>
            <w:tcW w:w="871" w:type="pct"/>
            <w:vMerge w:val="continue"/>
            <w:tcBorders>
              <w:left w:val="single" w:color="auto" w:sz="4" w:space="0"/>
              <w:bottom w:val="single" w:color="000000" w:sz="4" w:space="0"/>
              <w:right w:val="single" w:color="auto" w:sz="4" w:space="0"/>
            </w:tcBorders>
            <w:tcMar>
              <w:top w:w="15" w:type="dxa"/>
              <w:left w:w="15" w:type="dxa"/>
              <w:right w:w="15" w:type="dxa"/>
            </w:tcMar>
            <w:vAlign w:val="center"/>
          </w:tcPr>
          <w:p w14:paraId="4975B5E0">
            <w:pPr>
              <w:widowControl/>
              <w:spacing w:line="520" w:lineRule="atLeast"/>
              <w:jc w:val="center"/>
              <w:rPr>
                <w:rFonts w:hint="eastAsia" w:ascii="仿宋" w:hAnsi="仿宋" w:eastAsia="仿宋" w:cs="仿宋"/>
                <w:color w:val="000000" w:themeColor="text1"/>
                <w:sz w:val="24"/>
                <w:lang w:val="en-US" w:eastAsia="zh-CN"/>
                <w14:textFill>
                  <w14:solidFill>
                    <w14:schemeClr w14:val="tx1"/>
                  </w14:solidFill>
                </w14:textFill>
              </w:rPr>
            </w:pPr>
          </w:p>
        </w:tc>
        <w:tc>
          <w:tcPr>
            <w:tcW w:w="1721" w:type="pct"/>
            <w:tcBorders>
              <w:top w:val="single" w:color="auto" w:sz="4" w:space="0"/>
              <w:left w:val="single" w:color="auto" w:sz="4" w:space="0"/>
              <w:bottom w:val="single" w:color="000000" w:sz="4" w:space="0"/>
              <w:right w:val="single" w:color="000000" w:sz="4" w:space="0"/>
            </w:tcBorders>
            <w:vAlign w:val="center"/>
          </w:tcPr>
          <w:p w14:paraId="2B479C4A">
            <w:pPr>
              <w:widowControl/>
              <w:spacing w:line="520" w:lineRule="atLeast"/>
              <w:jc w:val="center"/>
              <w:rPr>
                <w:rFonts w:hint="eastAsia" w:ascii="仿宋" w:hAnsi="仿宋" w:eastAsia="仿宋" w:cs="仿宋"/>
                <w:b/>
                <w:bCs/>
                <w:kern w:val="0"/>
                <w:sz w:val="24"/>
                <w:lang w:bidi="ar"/>
              </w:rPr>
            </w:pPr>
            <w:r>
              <w:rPr>
                <w:rFonts w:hint="eastAsia" w:ascii="仿宋" w:hAnsi="仿宋" w:eastAsia="仿宋" w:cs="仿宋"/>
                <w:b w:val="0"/>
                <w:bCs w:val="0"/>
                <w:kern w:val="0"/>
                <w:sz w:val="24"/>
                <w:lang w:val="en-US" w:eastAsia="zh-CN" w:bidi="ar"/>
              </w:rPr>
              <w:t>非常用安防系统及设备器材</w:t>
            </w:r>
            <w:r>
              <w:rPr>
                <w:rFonts w:hint="eastAsia" w:ascii="仿宋" w:hAnsi="仿宋" w:eastAsia="仿宋" w:cs="仿宋"/>
                <w:b w:val="0"/>
                <w:bCs w:val="0"/>
                <w:kern w:val="0"/>
                <w:sz w:val="24"/>
                <w:lang w:val="en-US" w:eastAsia="en-US" w:bidi="ar"/>
              </w:rPr>
              <w:t>报价</w:t>
            </w:r>
            <w:r>
              <w:rPr>
                <w:rFonts w:hint="eastAsia" w:ascii="仿宋" w:hAnsi="仿宋" w:eastAsia="仿宋" w:cs="仿宋"/>
                <w:b w:val="0"/>
                <w:bCs w:val="0"/>
                <w:kern w:val="0"/>
                <w:sz w:val="24"/>
                <w:lang w:val="en-US" w:eastAsia="zh-CN" w:bidi="ar"/>
              </w:rPr>
              <w:t>：</w:t>
            </w:r>
            <w:r>
              <w:rPr>
                <w:rFonts w:hint="eastAsia" w:ascii="仿宋" w:hAnsi="仿宋" w:eastAsia="仿宋" w:cs="仿宋"/>
                <w:b w:val="0"/>
                <w:bCs w:val="0"/>
                <w:kern w:val="0"/>
                <w:sz w:val="24"/>
                <w:u w:val="single"/>
                <w:lang w:val="en-US" w:eastAsia="zh-CN" w:bidi="ar"/>
              </w:rPr>
              <w:t xml:space="preserve">      %</w:t>
            </w:r>
          </w:p>
        </w:tc>
      </w:tr>
    </w:tbl>
    <w:p w14:paraId="4BF365F3">
      <w:pPr>
        <w:widowControl/>
        <w:shd w:val="clear" w:color="auto" w:fill="FFFFFF"/>
        <w:wordWrap w:val="0"/>
        <w:spacing w:after="160" w:line="400" w:lineRule="exact"/>
        <w:jc w:val="left"/>
        <w:rPr>
          <w:rFonts w:hint="eastAsia" w:ascii="仿宋" w:hAnsi="仿宋" w:eastAsia="仿宋" w:cs="仿宋"/>
          <w:kern w:val="0"/>
          <w:sz w:val="24"/>
        </w:rPr>
      </w:pPr>
    </w:p>
    <w:p w14:paraId="170F04DE">
      <w:pPr>
        <w:widowControl/>
        <w:shd w:val="clear" w:color="auto" w:fill="FFFFFF"/>
        <w:spacing w:after="160" w:line="400" w:lineRule="exact"/>
        <w:jc w:val="left"/>
        <w:rPr>
          <w:rFonts w:hint="eastAsia" w:ascii="仿宋" w:hAnsi="仿宋" w:eastAsia="仿宋" w:cs="仿宋"/>
          <w:kern w:val="0"/>
          <w:sz w:val="24"/>
        </w:rPr>
      </w:pPr>
      <w:r>
        <w:rPr>
          <w:rFonts w:hint="eastAsia" w:ascii="仿宋" w:hAnsi="仿宋" w:eastAsia="仿宋" w:cs="仿宋"/>
          <w:kern w:val="0"/>
          <w:sz w:val="24"/>
        </w:rPr>
        <w:t>注：</w:t>
      </w:r>
    </w:p>
    <w:p w14:paraId="363A897F">
      <w:pPr>
        <w:widowControl/>
        <w:shd w:val="clear" w:color="auto" w:fill="FFFFFF"/>
        <w:spacing w:after="160" w:line="400" w:lineRule="exact"/>
        <w:jc w:val="left"/>
        <w:rPr>
          <w:rFonts w:hint="eastAsia" w:ascii="仿宋" w:hAnsi="仿宋" w:eastAsia="仿宋" w:cs="仿宋"/>
          <w:kern w:val="0"/>
          <w:sz w:val="24"/>
        </w:rPr>
      </w:pPr>
      <w:r>
        <w:rPr>
          <w:rFonts w:hint="eastAsia" w:ascii="仿宋" w:hAnsi="仿宋" w:eastAsia="仿宋" w:cs="仿宋"/>
          <w:kern w:val="0"/>
          <w:sz w:val="24"/>
        </w:rPr>
        <w:t>1.报价应是最终用户验收合格后的总价，包括设备运输、保险、代理、安装调试、培训、税费、系统集成费用和采购文件规定的其它费用。</w:t>
      </w:r>
    </w:p>
    <w:p w14:paraId="7EB9A699">
      <w:pPr>
        <w:widowControl/>
        <w:shd w:val="clear" w:color="auto" w:fill="FFFFFF"/>
        <w:spacing w:after="160" w:line="400" w:lineRule="exact"/>
        <w:jc w:val="left"/>
        <w:rPr>
          <w:rFonts w:hint="eastAsia" w:ascii="仿宋" w:hAnsi="仿宋" w:eastAsia="仿宋" w:cs="仿宋"/>
          <w:kern w:val="0"/>
          <w:sz w:val="24"/>
        </w:rPr>
      </w:pPr>
      <w:r>
        <w:rPr>
          <w:rFonts w:hint="eastAsia" w:ascii="仿宋" w:hAnsi="仿宋" w:eastAsia="仿宋" w:cs="仿宋"/>
          <w:kern w:val="0"/>
          <w:sz w:val="24"/>
        </w:rPr>
        <w:t>2.“报价表”为多页的，每页均需由法定代表人或授权代表签字并盖供应商印章。</w:t>
      </w:r>
    </w:p>
    <w:p w14:paraId="33393724">
      <w:pPr>
        <w:widowControl/>
        <w:shd w:val="clear" w:color="auto" w:fill="FFFFFF"/>
        <w:spacing w:after="160" w:line="400" w:lineRule="exact"/>
        <w:jc w:val="left"/>
        <w:rPr>
          <w:rFonts w:hint="eastAsia" w:ascii="仿宋" w:hAnsi="仿宋" w:eastAsia="仿宋" w:cs="仿宋"/>
          <w:kern w:val="0"/>
          <w:sz w:val="24"/>
        </w:rPr>
      </w:pPr>
      <w:r>
        <w:rPr>
          <w:rFonts w:hint="eastAsia" w:ascii="仿宋" w:hAnsi="仿宋" w:eastAsia="仿宋" w:cs="仿宋"/>
          <w:kern w:val="0"/>
          <w:sz w:val="24"/>
        </w:rPr>
        <w:t>3.单价报价超过单价最高限价的为无效报价，供应商响应文件将作无效响应处理。</w:t>
      </w:r>
    </w:p>
    <w:p w14:paraId="0A3754D0">
      <w:pPr>
        <w:pStyle w:val="2"/>
        <w:rPr>
          <w:rFonts w:hint="eastAsia"/>
        </w:rPr>
      </w:pPr>
      <w:r>
        <w:rPr>
          <w:rFonts w:hint="eastAsia" w:ascii="仿宋" w:hAnsi="仿宋" w:eastAsia="仿宋" w:cs="仿宋"/>
          <w:kern w:val="0"/>
          <w:sz w:val="24"/>
          <w:lang w:val="en-US" w:eastAsia="zh-CN"/>
        </w:rPr>
        <w:t>4.报价举例：供应商如折扣率报价为80%（即为打8折），如折扣率报价为100%（即为不打折）。折扣率不能超过100%，</w:t>
      </w:r>
      <w:r>
        <w:rPr>
          <w:rFonts w:hint="eastAsia" w:ascii="仿宋" w:hAnsi="仿宋" w:eastAsia="仿宋" w:cs="仿宋"/>
          <w:kern w:val="0"/>
          <w:sz w:val="24"/>
        </w:rPr>
        <w:t>响应文件将作无效响应处理。</w:t>
      </w:r>
    </w:p>
    <w:p w14:paraId="4BD9C14F">
      <w:pPr>
        <w:widowControl/>
        <w:shd w:val="clear" w:color="auto" w:fill="FFFFFF"/>
        <w:spacing w:after="160" w:line="400" w:lineRule="exact"/>
        <w:jc w:val="left"/>
        <w:rPr>
          <w:rFonts w:hint="eastAsia" w:ascii="仿宋" w:hAnsi="仿宋" w:eastAsia="仿宋" w:cs="仿宋"/>
          <w:kern w:val="0"/>
          <w:sz w:val="24"/>
        </w:rPr>
      </w:pPr>
    </w:p>
    <w:p w14:paraId="75AE7874">
      <w:pPr>
        <w:widowControl/>
        <w:shd w:val="clear" w:color="auto" w:fill="FFFFFF"/>
        <w:spacing w:after="160" w:line="400" w:lineRule="exact"/>
        <w:jc w:val="left"/>
        <w:rPr>
          <w:rFonts w:hint="eastAsia" w:ascii="仿宋" w:hAnsi="仿宋" w:eastAsia="仿宋" w:cs="仿宋"/>
          <w:kern w:val="0"/>
          <w:sz w:val="24"/>
        </w:rPr>
      </w:pPr>
    </w:p>
    <w:p w14:paraId="51EE50BA">
      <w:pPr>
        <w:widowControl/>
        <w:shd w:val="clear" w:color="auto" w:fill="FFFFFF"/>
        <w:spacing w:after="160" w:line="400" w:lineRule="exact"/>
        <w:jc w:val="left"/>
        <w:rPr>
          <w:rFonts w:hint="eastAsia" w:ascii="仿宋" w:hAnsi="仿宋" w:eastAsia="仿宋" w:cs="仿宋"/>
          <w:kern w:val="0"/>
          <w:sz w:val="24"/>
        </w:rPr>
      </w:pPr>
    </w:p>
    <w:p w14:paraId="350527C9">
      <w:pPr>
        <w:widowControl/>
        <w:shd w:val="clear" w:color="auto" w:fill="FFFFFF"/>
        <w:spacing w:after="160" w:line="400" w:lineRule="exact"/>
        <w:jc w:val="left"/>
        <w:rPr>
          <w:rFonts w:hint="eastAsia" w:ascii="仿宋" w:hAnsi="仿宋" w:eastAsia="仿宋" w:cs="仿宋"/>
          <w:kern w:val="0"/>
          <w:sz w:val="24"/>
        </w:rPr>
      </w:pPr>
      <w:r>
        <w:rPr>
          <w:rFonts w:hint="eastAsia" w:ascii="仿宋" w:hAnsi="仿宋" w:eastAsia="仿宋" w:cs="仿宋"/>
          <w:kern w:val="0"/>
          <w:sz w:val="24"/>
        </w:rPr>
        <w:t>供应商名称：（盖章）</w:t>
      </w:r>
    </w:p>
    <w:p w14:paraId="21D41D58">
      <w:pPr>
        <w:widowControl/>
        <w:shd w:val="clear" w:color="auto" w:fill="FFFFFF"/>
        <w:spacing w:after="160" w:line="400" w:lineRule="exact"/>
        <w:jc w:val="left"/>
        <w:rPr>
          <w:rFonts w:hint="eastAsia" w:ascii="仿宋" w:hAnsi="仿宋" w:eastAsia="仿宋" w:cs="仿宋"/>
          <w:kern w:val="0"/>
          <w:sz w:val="24"/>
        </w:rPr>
      </w:pPr>
      <w:r>
        <w:rPr>
          <w:rFonts w:hint="eastAsia" w:ascii="仿宋" w:hAnsi="仿宋" w:eastAsia="仿宋" w:cs="仿宋"/>
          <w:kern w:val="0"/>
          <w:sz w:val="24"/>
        </w:rPr>
        <w:t>法定代表人或授权代表（签字）：</w:t>
      </w:r>
    </w:p>
    <w:p w14:paraId="61766BD8">
      <w:pPr>
        <w:widowControl/>
        <w:shd w:val="clear" w:color="auto" w:fill="FFFFFF"/>
        <w:spacing w:after="160" w:line="400" w:lineRule="exact"/>
        <w:jc w:val="left"/>
        <w:rPr>
          <w:rFonts w:hint="eastAsia" w:ascii="仿宋" w:hAnsi="仿宋" w:eastAsia="仿宋" w:cs="仿宋"/>
          <w:kern w:val="0"/>
          <w:sz w:val="24"/>
        </w:rPr>
      </w:pPr>
      <w:r>
        <w:rPr>
          <w:rFonts w:hint="eastAsia" w:ascii="仿宋" w:hAnsi="仿宋" w:eastAsia="仿宋" w:cs="仿宋"/>
          <w:kern w:val="0"/>
          <w:sz w:val="24"/>
        </w:rPr>
        <w:t>日期：</w:t>
      </w:r>
    </w:p>
    <w:p w14:paraId="17142420">
      <w:pPr>
        <w:widowControl/>
        <w:shd w:val="clear" w:color="auto" w:fill="FFFFFF"/>
        <w:spacing w:after="160" w:line="400" w:lineRule="exact"/>
        <w:jc w:val="left"/>
        <w:rPr>
          <w:rFonts w:hint="eastAsia" w:ascii="仿宋" w:hAnsi="仿宋" w:eastAsia="仿宋" w:cs="仿宋"/>
          <w:kern w:val="0"/>
          <w:sz w:val="24"/>
        </w:rPr>
      </w:pPr>
    </w:p>
    <w:p w14:paraId="4C58B713">
      <w:pPr>
        <w:rPr>
          <w:rFonts w:hint="eastAsia" w:ascii="仿宋" w:hAnsi="仿宋" w:eastAsia="仿宋"/>
          <w:b/>
          <w:sz w:val="36"/>
          <w:szCs w:val="36"/>
        </w:rPr>
      </w:pPr>
      <w:r>
        <w:rPr>
          <w:rFonts w:hint="eastAsia" w:ascii="仿宋" w:hAnsi="仿宋" w:eastAsia="仿宋"/>
          <w:b/>
          <w:sz w:val="36"/>
          <w:szCs w:val="36"/>
        </w:rPr>
        <w:br w:type="page"/>
      </w:r>
    </w:p>
    <w:p w14:paraId="1512488E">
      <w:pPr>
        <w:widowControl/>
        <w:adjustRightInd w:val="0"/>
        <w:snapToGrid w:val="0"/>
        <w:spacing w:line="580" w:lineRule="exact"/>
        <w:jc w:val="left"/>
        <w:outlineLvl w:val="1"/>
        <w:rPr>
          <w:rFonts w:hint="eastAsia" w:ascii="仿宋" w:hAnsi="仿宋" w:eastAsia="仿宋" w:cs="仿宋"/>
          <w:sz w:val="28"/>
          <w:szCs w:val="32"/>
        </w:rPr>
      </w:pPr>
      <w:r>
        <w:rPr>
          <w:rFonts w:hint="eastAsia" w:ascii="仿宋" w:hAnsi="仿宋" w:eastAsia="仿宋" w:cs="仿宋"/>
          <w:sz w:val="28"/>
          <w:szCs w:val="32"/>
        </w:rPr>
        <w:t>附件5-2：</w:t>
      </w:r>
      <w:r>
        <w:rPr>
          <w:rFonts w:hint="eastAsia" w:ascii="仿宋" w:hAnsi="仿宋" w:eastAsia="仿宋" w:cs="仿宋"/>
          <w:sz w:val="28"/>
          <w:szCs w:val="32"/>
          <w:lang w:eastAsia="zh-CN"/>
        </w:rPr>
        <w:t>2026年安防设备、器材维修配件采购项目</w:t>
      </w:r>
      <w:r>
        <w:rPr>
          <w:rFonts w:hint="eastAsia" w:ascii="仿宋" w:hAnsi="仿宋" w:eastAsia="仿宋" w:cs="仿宋"/>
          <w:sz w:val="28"/>
          <w:szCs w:val="32"/>
        </w:rPr>
        <w:t>最后报价表</w:t>
      </w:r>
    </w:p>
    <w:p w14:paraId="79763C3C">
      <w:pPr>
        <w:pStyle w:val="10"/>
      </w:pPr>
    </w:p>
    <w:p w14:paraId="47F1C308">
      <w:pPr>
        <w:widowControl/>
        <w:spacing w:after="312" w:afterLines="100" w:line="660" w:lineRule="exact"/>
        <w:jc w:val="center"/>
        <w:rPr>
          <w:rFonts w:hint="eastAsia" w:ascii="方正小标宋简体" w:hAnsi="仿宋" w:eastAsia="方正小标宋简体" w:cs="仿宋"/>
          <w:b/>
          <w:bCs/>
          <w:kern w:val="0"/>
          <w:sz w:val="44"/>
          <w:szCs w:val="44"/>
        </w:rPr>
      </w:pPr>
      <w:r>
        <w:rPr>
          <w:rFonts w:hint="eastAsia" w:ascii="方正小标宋简体" w:hAnsi="仿宋" w:eastAsia="方正小标宋简体" w:cs="仿宋"/>
          <w:b/>
          <w:bCs/>
          <w:kern w:val="0"/>
          <w:sz w:val="44"/>
          <w:szCs w:val="44"/>
          <w:lang w:eastAsia="zh-CN"/>
        </w:rPr>
        <w:t>2026年安防设备、器材维修配件采购项目</w:t>
      </w:r>
      <w:r>
        <w:rPr>
          <w:rFonts w:hint="eastAsia" w:ascii="方正小标宋简体" w:hAnsi="仿宋" w:eastAsia="方正小标宋简体" w:cs="仿宋"/>
          <w:b/>
          <w:bCs/>
          <w:kern w:val="0"/>
          <w:sz w:val="44"/>
          <w:szCs w:val="44"/>
        </w:rPr>
        <w:t>最后报价表</w:t>
      </w:r>
    </w:p>
    <w:tbl>
      <w:tblPr>
        <w:tblStyle w:val="14"/>
        <w:tblW w:w="4950" w:type="pct"/>
        <w:jc w:val="center"/>
        <w:tblLayout w:type="autofit"/>
        <w:tblCellMar>
          <w:top w:w="0" w:type="dxa"/>
          <w:left w:w="0" w:type="dxa"/>
          <w:bottom w:w="0" w:type="dxa"/>
          <w:right w:w="0" w:type="dxa"/>
        </w:tblCellMar>
      </w:tblPr>
      <w:tblGrid>
        <w:gridCol w:w="681"/>
        <w:gridCol w:w="1915"/>
        <w:gridCol w:w="691"/>
        <w:gridCol w:w="681"/>
        <w:gridCol w:w="1436"/>
        <w:gridCol w:w="2839"/>
      </w:tblGrid>
      <w:tr w14:paraId="3FB71108">
        <w:tblPrEx>
          <w:tblCellMar>
            <w:top w:w="0" w:type="dxa"/>
            <w:left w:w="0" w:type="dxa"/>
            <w:bottom w:w="0" w:type="dxa"/>
            <w:right w:w="0" w:type="dxa"/>
          </w:tblCellMar>
        </w:tblPrEx>
        <w:trPr>
          <w:trHeight w:val="771" w:hRule="atLeast"/>
          <w:jc w:val="center"/>
        </w:trPr>
        <w:tc>
          <w:tcPr>
            <w:tcW w:w="413"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95B5404">
            <w:pPr>
              <w:widowControl/>
              <w:spacing w:line="520" w:lineRule="atLeast"/>
              <w:jc w:val="center"/>
              <w:textAlignment w:val="center"/>
              <w:rPr>
                <w:rFonts w:hint="eastAsia" w:ascii="仿宋" w:hAnsi="仿宋" w:eastAsia="仿宋" w:cs="仿宋"/>
                <w:b/>
                <w:bCs/>
                <w:color w:val="000000"/>
                <w:kern w:val="0"/>
                <w:sz w:val="24"/>
                <w:lang w:bidi="ar"/>
              </w:rPr>
            </w:pPr>
            <w:r>
              <w:rPr>
                <w:rFonts w:hint="eastAsia" w:ascii="仿宋" w:hAnsi="仿宋" w:eastAsia="仿宋" w:cs="仿宋"/>
                <w:b/>
                <w:bCs/>
                <w:color w:val="000000"/>
                <w:kern w:val="0"/>
                <w:sz w:val="24"/>
                <w:lang w:bidi="ar"/>
              </w:rPr>
              <w:t>序号</w:t>
            </w:r>
          </w:p>
        </w:tc>
        <w:tc>
          <w:tcPr>
            <w:tcW w:w="1161"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BA9E4ED">
            <w:pPr>
              <w:widowControl/>
              <w:spacing w:line="520" w:lineRule="atLeast"/>
              <w:jc w:val="center"/>
              <w:textAlignment w:val="center"/>
              <w:rPr>
                <w:rFonts w:hint="eastAsia" w:ascii="仿宋" w:hAnsi="仿宋" w:eastAsia="仿宋" w:cs="仿宋"/>
                <w:b/>
                <w:bCs/>
                <w:color w:val="000000"/>
                <w:kern w:val="0"/>
                <w:sz w:val="24"/>
                <w:lang w:bidi="ar"/>
              </w:rPr>
            </w:pPr>
            <w:r>
              <w:rPr>
                <w:rFonts w:hint="eastAsia" w:ascii="仿宋" w:hAnsi="仿宋" w:eastAsia="仿宋" w:cs="仿宋"/>
                <w:b/>
                <w:bCs/>
                <w:color w:val="000000"/>
                <w:kern w:val="0"/>
                <w:sz w:val="24"/>
                <w:lang w:bidi="ar"/>
              </w:rPr>
              <w:t>标的名称</w:t>
            </w:r>
          </w:p>
        </w:tc>
        <w:tc>
          <w:tcPr>
            <w:tcW w:w="419" w:type="pct"/>
            <w:tcBorders>
              <w:top w:val="single" w:color="000000" w:sz="4" w:space="0"/>
              <w:left w:val="single" w:color="auto" w:sz="4" w:space="0"/>
              <w:bottom w:val="single" w:color="000000" w:sz="4" w:space="0"/>
              <w:right w:val="single" w:color="auto" w:sz="4" w:space="0"/>
            </w:tcBorders>
            <w:tcMar>
              <w:top w:w="15" w:type="dxa"/>
              <w:left w:w="15" w:type="dxa"/>
              <w:right w:w="15" w:type="dxa"/>
            </w:tcMar>
            <w:vAlign w:val="center"/>
          </w:tcPr>
          <w:p w14:paraId="54B94ACE">
            <w:pPr>
              <w:widowControl/>
              <w:adjustRightInd w:val="0"/>
              <w:snapToGrid w:val="0"/>
              <w:spacing w:line="520" w:lineRule="atLeast"/>
              <w:jc w:val="center"/>
              <w:rPr>
                <w:rFonts w:hint="eastAsia" w:ascii="仿宋" w:hAnsi="仿宋" w:eastAsia="仿宋" w:cs="仿宋"/>
                <w:b/>
                <w:bCs/>
                <w:color w:val="000000"/>
                <w:kern w:val="0"/>
                <w:sz w:val="24"/>
                <w:lang w:bidi="ar"/>
              </w:rPr>
            </w:pPr>
            <w:r>
              <w:rPr>
                <w:rFonts w:hint="eastAsia" w:ascii="仿宋" w:hAnsi="仿宋" w:eastAsia="仿宋" w:cs="仿宋"/>
                <w:b/>
                <w:bCs/>
                <w:color w:val="000000"/>
                <w:kern w:val="0"/>
                <w:sz w:val="24"/>
                <w:lang w:bidi="ar"/>
              </w:rPr>
              <w:t>计量单位</w:t>
            </w:r>
          </w:p>
        </w:tc>
        <w:tc>
          <w:tcPr>
            <w:tcW w:w="413" w:type="pct"/>
            <w:tcBorders>
              <w:top w:val="single" w:color="000000" w:sz="4" w:space="0"/>
              <w:left w:val="single" w:color="auto" w:sz="4" w:space="0"/>
              <w:bottom w:val="single" w:color="000000" w:sz="4" w:space="0"/>
              <w:right w:val="single" w:color="auto" w:sz="4" w:space="0"/>
            </w:tcBorders>
            <w:tcMar>
              <w:top w:w="15" w:type="dxa"/>
              <w:left w:w="15" w:type="dxa"/>
              <w:right w:w="15" w:type="dxa"/>
            </w:tcMar>
            <w:vAlign w:val="center"/>
          </w:tcPr>
          <w:p w14:paraId="118DC042">
            <w:pPr>
              <w:widowControl/>
              <w:adjustRightInd w:val="0"/>
              <w:snapToGrid w:val="0"/>
              <w:spacing w:line="520" w:lineRule="atLeast"/>
              <w:jc w:val="center"/>
              <w:rPr>
                <w:rFonts w:hint="eastAsia" w:ascii="仿宋" w:hAnsi="仿宋" w:eastAsia="仿宋" w:cs="仿宋"/>
                <w:b/>
                <w:bCs/>
                <w:color w:val="000000"/>
                <w:kern w:val="0"/>
                <w:sz w:val="24"/>
                <w:lang w:bidi="ar"/>
              </w:rPr>
            </w:pPr>
            <w:r>
              <w:rPr>
                <w:rFonts w:hint="eastAsia" w:ascii="仿宋" w:hAnsi="仿宋" w:eastAsia="仿宋" w:cs="仿宋"/>
                <w:b/>
                <w:bCs/>
                <w:color w:val="000000"/>
                <w:kern w:val="0"/>
                <w:sz w:val="24"/>
                <w:lang w:bidi="ar"/>
              </w:rPr>
              <w:t>数量</w:t>
            </w:r>
          </w:p>
        </w:tc>
        <w:tc>
          <w:tcPr>
            <w:tcW w:w="871" w:type="pct"/>
            <w:tcBorders>
              <w:top w:val="single" w:color="000000" w:sz="4" w:space="0"/>
              <w:left w:val="single" w:color="auto" w:sz="4" w:space="0"/>
              <w:bottom w:val="single" w:color="000000" w:sz="4" w:space="0"/>
              <w:right w:val="single" w:color="auto" w:sz="4" w:space="0"/>
            </w:tcBorders>
            <w:tcMar>
              <w:top w:w="15" w:type="dxa"/>
              <w:left w:w="15" w:type="dxa"/>
              <w:right w:w="15" w:type="dxa"/>
            </w:tcMar>
            <w:vAlign w:val="center"/>
          </w:tcPr>
          <w:p w14:paraId="1AB9AE9F">
            <w:pPr>
              <w:widowControl/>
              <w:adjustRightInd w:val="0"/>
              <w:snapToGrid w:val="0"/>
              <w:spacing w:line="520" w:lineRule="atLeast"/>
              <w:jc w:val="center"/>
              <w:rPr>
                <w:rFonts w:hint="eastAsia" w:ascii="仿宋" w:hAnsi="仿宋" w:eastAsia="仿宋" w:cs="仿宋"/>
                <w:b/>
                <w:bCs/>
                <w:color w:val="000000"/>
                <w:kern w:val="0"/>
                <w:sz w:val="24"/>
                <w:lang w:bidi="ar"/>
              </w:rPr>
            </w:pPr>
            <w:r>
              <w:rPr>
                <w:rFonts w:hint="eastAsia" w:ascii="仿宋" w:hAnsi="仿宋" w:eastAsia="仿宋" w:cs="仿宋"/>
                <w:b/>
                <w:bCs/>
                <w:color w:val="000000"/>
                <w:kern w:val="0"/>
                <w:sz w:val="24"/>
                <w:lang w:bidi="ar"/>
              </w:rPr>
              <w:t>最高限价</w:t>
            </w:r>
          </w:p>
          <w:p w14:paraId="469EB199">
            <w:pPr>
              <w:widowControl/>
              <w:adjustRightInd w:val="0"/>
              <w:snapToGrid w:val="0"/>
              <w:spacing w:line="520" w:lineRule="atLeast"/>
              <w:jc w:val="center"/>
              <w:rPr>
                <w:rFonts w:hint="eastAsia" w:ascii="仿宋" w:hAnsi="仿宋" w:eastAsia="仿宋" w:cs="仿宋"/>
                <w:b/>
                <w:bCs/>
                <w:color w:val="000000"/>
                <w:kern w:val="0"/>
                <w:sz w:val="24"/>
                <w:lang w:eastAsia="zh-CN" w:bidi="ar"/>
              </w:rPr>
            </w:pPr>
            <w:r>
              <w:rPr>
                <w:rFonts w:hint="eastAsia" w:ascii="仿宋" w:hAnsi="仿宋" w:eastAsia="仿宋" w:cs="仿宋"/>
                <w:b/>
                <w:bCs/>
                <w:color w:val="000000"/>
                <w:kern w:val="0"/>
                <w:sz w:val="24"/>
                <w:lang w:eastAsia="zh-CN" w:bidi="ar"/>
              </w:rPr>
              <w:t>（</w:t>
            </w:r>
            <w:r>
              <w:rPr>
                <w:rFonts w:hint="eastAsia" w:ascii="仿宋" w:hAnsi="仿宋" w:eastAsia="仿宋" w:cs="仿宋"/>
                <w:b/>
                <w:bCs/>
                <w:color w:val="000000"/>
                <w:kern w:val="0"/>
                <w:sz w:val="24"/>
                <w:lang w:val="en-US" w:eastAsia="zh-CN" w:bidi="ar"/>
              </w:rPr>
              <w:t>元</w:t>
            </w:r>
            <w:r>
              <w:rPr>
                <w:rFonts w:hint="eastAsia" w:ascii="仿宋" w:hAnsi="仿宋" w:eastAsia="仿宋" w:cs="仿宋"/>
                <w:b/>
                <w:bCs/>
                <w:color w:val="000000"/>
                <w:kern w:val="0"/>
                <w:sz w:val="24"/>
                <w:lang w:eastAsia="zh-CN" w:bidi="ar"/>
              </w:rPr>
              <w:t>）</w:t>
            </w:r>
          </w:p>
        </w:tc>
        <w:tc>
          <w:tcPr>
            <w:tcW w:w="1721" w:type="pct"/>
            <w:tcBorders>
              <w:top w:val="single" w:color="000000" w:sz="4" w:space="0"/>
              <w:left w:val="single" w:color="auto" w:sz="4" w:space="0"/>
              <w:bottom w:val="single" w:color="000000" w:sz="4" w:space="0"/>
              <w:right w:val="single" w:color="000000" w:sz="4" w:space="0"/>
            </w:tcBorders>
            <w:vAlign w:val="center"/>
          </w:tcPr>
          <w:p w14:paraId="4DFF5719">
            <w:pPr>
              <w:widowControl/>
              <w:spacing w:line="520" w:lineRule="atLeast"/>
              <w:jc w:val="center"/>
              <w:textAlignment w:val="center"/>
              <w:rPr>
                <w:rFonts w:hint="eastAsia" w:ascii="仿宋" w:hAnsi="仿宋" w:eastAsia="仿宋" w:cs="仿宋"/>
                <w:b/>
                <w:bCs/>
                <w:color w:val="000000"/>
                <w:kern w:val="0"/>
                <w:sz w:val="24"/>
                <w:lang w:bidi="ar"/>
              </w:rPr>
            </w:pPr>
            <w:r>
              <w:rPr>
                <w:rFonts w:hint="eastAsia" w:ascii="仿宋" w:hAnsi="仿宋" w:eastAsia="仿宋" w:cs="仿宋"/>
                <w:b/>
                <w:bCs/>
                <w:color w:val="000000"/>
                <w:kern w:val="0"/>
                <w:sz w:val="24"/>
                <w:lang w:bidi="ar"/>
              </w:rPr>
              <w:t>报价（</w:t>
            </w:r>
            <w:r>
              <w:rPr>
                <w:rFonts w:hint="eastAsia" w:ascii="仿宋" w:hAnsi="仿宋" w:eastAsia="仿宋" w:cs="仿宋"/>
                <w:b/>
                <w:bCs/>
                <w:color w:val="000000"/>
                <w:kern w:val="0"/>
                <w:sz w:val="24"/>
                <w:lang w:val="en-US" w:eastAsia="zh-CN" w:bidi="ar"/>
              </w:rPr>
              <w:t>统一折扣%</w:t>
            </w:r>
            <w:r>
              <w:rPr>
                <w:rFonts w:hint="eastAsia" w:ascii="仿宋" w:hAnsi="仿宋" w:eastAsia="仿宋" w:cs="仿宋"/>
                <w:b/>
                <w:bCs/>
                <w:color w:val="000000"/>
                <w:kern w:val="0"/>
                <w:sz w:val="24"/>
                <w:lang w:bidi="ar"/>
              </w:rPr>
              <w:t>）</w:t>
            </w:r>
          </w:p>
        </w:tc>
      </w:tr>
      <w:tr w14:paraId="1BF11320">
        <w:tblPrEx>
          <w:tblCellMar>
            <w:top w:w="0" w:type="dxa"/>
            <w:left w:w="0" w:type="dxa"/>
            <w:bottom w:w="0" w:type="dxa"/>
            <w:right w:w="0" w:type="dxa"/>
          </w:tblCellMar>
        </w:tblPrEx>
        <w:trPr>
          <w:trHeight w:val="715" w:hRule="atLeast"/>
          <w:jc w:val="center"/>
        </w:trPr>
        <w:tc>
          <w:tcPr>
            <w:tcW w:w="413" w:type="pct"/>
            <w:vMerge w:val="restart"/>
            <w:tcBorders>
              <w:top w:val="single" w:color="000000" w:sz="4" w:space="0"/>
              <w:left w:val="single" w:color="000000" w:sz="4" w:space="0"/>
              <w:right w:val="single" w:color="000000" w:sz="4" w:space="0"/>
            </w:tcBorders>
            <w:tcMar>
              <w:top w:w="15" w:type="dxa"/>
              <w:left w:w="15" w:type="dxa"/>
              <w:right w:w="15" w:type="dxa"/>
            </w:tcMar>
            <w:vAlign w:val="center"/>
          </w:tcPr>
          <w:p w14:paraId="6E3753FE">
            <w:pPr>
              <w:spacing w:line="520" w:lineRule="atLeast"/>
              <w:jc w:val="center"/>
              <w:rPr>
                <w:rFonts w:hint="eastAsia" w:ascii="仿宋" w:hAnsi="仿宋" w:eastAsia="仿宋" w:cs="仿宋"/>
                <w:b/>
                <w:bCs/>
                <w:color w:val="000000"/>
                <w:kern w:val="0"/>
                <w:sz w:val="24"/>
                <w:lang w:bidi="ar"/>
              </w:rPr>
            </w:pPr>
            <w:r>
              <w:rPr>
                <w:rFonts w:hint="eastAsia" w:ascii="仿宋" w:hAnsi="仿宋" w:eastAsia="仿宋" w:cs="仿宋"/>
                <w:sz w:val="24"/>
              </w:rPr>
              <w:t>1</w:t>
            </w:r>
          </w:p>
        </w:tc>
        <w:tc>
          <w:tcPr>
            <w:tcW w:w="1161" w:type="pct"/>
            <w:vMerge w:val="restart"/>
            <w:tcBorders>
              <w:top w:val="single" w:color="000000" w:sz="4" w:space="0"/>
              <w:left w:val="single" w:color="000000" w:sz="4" w:space="0"/>
              <w:right w:val="single" w:color="000000" w:sz="4" w:space="0"/>
            </w:tcBorders>
            <w:tcMar>
              <w:top w:w="15" w:type="dxa"/>
              <w:left w:w="15" w:type="dxa"/>
              <w:right w:w="15" w:type="dxa"/>
            </w:tcMar>
            <w:vAlign w:val="center"/>
          </w:tcPr>
          <w:p w14:paraId="3F2C66F8">
            <w:pPr>
              <w:spacing w:line="520" w:lineRule="atLeast"/>
              <w:jc w:val="center"/>
              <w:rPr>
                <w:rFonts w:hint="eastAsia" w:ascii="仿宋" w:hAnsi="仿宋" w:eastAsia="仿宋" w:cs="仿宋"/>
                <w:b/>
                <w:bCs/>
                <w:color w:val="000000"/>
                <w:kern w:val="0"/>
                <w:sz w:val="24"/>
                <w:lang w:eastAsia="zh-CN" w:bidi="ar"/>
              </w:rPr>
            </w:pPr>
            <w:r>
              <w:rPr>
                <w:rFonts w:hint="eastAsia" w:ascii="仿宋" w:hAnsi="仿宋" w:eastAsia="仿宋" w:cs="仿宋"/>
                <w:color w:val="000000" w:themeColor="text1"/>
                <w:sz w:val="24"/>
                <w:lang w:eastAsia="zh-CN"/>
                <w14:textFill>
                  <w14:solidFill>
                    <w14:schemeClr w14:val="tx1"/>
                  </w14:solidFill>
                </w14:textFill>
              </w:rPr>
              <w:t>2026年安防设备、器材维修配件采购项目</w:t>
            </w:r>
          </w:p>
        </w:tc>
        <w:tc>
          <w:tcPr>
            <w:tcW w:w="419" w:type="pct"/>
            <w:vMerge w:val="restart"/>
            <w:tcBorders>
              <w:top w:val="single" w:color="000000" w:sz="4" w:space="0"/>
              <w:left w:val="single" w:color="auto" w:sz="4" w:space="0"/>
              <w:right w:val="single" w:color="auto" w:sz="4" w:space="0"/>
            </w:tcBorders>
            <w:tcMar>
              <w:top w:w="15" w:type="dxa"/>
              <w:left w:w="15" w:type="dxa"/>
              <w:right w:w="15" w:type="dxa"/>
            </w:tcMar>
            <w:vAlign w:val="center"/>
          </w:tcPr>
          <w:p w14:paraId="0F950CAB">
            <w:pPr>
              <w:widowControl/>
              <w:spacing w:line="520" w:lineRule="atLeast"/>
              <w:jc w:val="center"/>
              <w:rPr>
                <w:rFonts w:hint="eastAsia" w:ascii="仿宋" w:hAnsi="仿宋" w:eastAsia="仿宋" w:cs="仿宋"/>
                <w:color w:val="000000" w:themeColor="text1"/>
                <w:szCs w:val="21"/>
                <w:lang w:eastAsia="zh-CN"/>
                <w14:textFill>
                  <w14:solidFill>
                    <w14:schemeClr w14:val="tx1"/>
                  </w14:solidFill>
                </w14:textFill>
              </w:rPr>
            </w:pPr>
            <w:r>
              <w:rPr>
                <w:rFonts w:hint="eastAsia" w:ascii="仿宋" w:hAnsi="仿宋" w:eastAsia="仿宋" w:cs="仿宋"/>
                <w:color w:val="000000" w:themeColor="text1"/>
                <w:sz w:val="24"/>
                <w:lang w:val="en-US" w:eastAsia="zh-CN"/>
                <w14:textFill>
                  <w14:solidFill>
                    <w14:schemeClr w14:val="tx1"/>
                  </w14:solidFill>
                </w14:textFill>
              </w:rPr>
              <w:t>年</w:t>
            </w:r>
          </w:p>
        </w:tc>
        <w:tc>
          <w:tcPr>
            <w:tcW w:w="413" w:type="pct"/>
            <w:vMerge w:val="restart"/>
            <w:tcBorders>
              <w:top w:val="single" w:color="000000" w:sz="4" w:space="0"/>
              <w:left w:val="single" w:color="auto" w:sz="4" w:space="0"/>
              <w:right w:val="single" w:color="auto" w:sz="4" w:space="0"/>
            </w:tcBorders>
            <w:tcMar>
              <w:top w:w="15" w:type="dxa"/>
              <w:left w:w="15" w:type="dxa"/>
              <w:right w:w="15" w:type="dxa"/>
            </w:tcMar>
            <w:vAlign w:val="center"/>
          </w:tcPr>
          <w:p w14:paraId="7C4A26EE">
            <w:pPr>
              <w:widowControl/>
              <w:spacing w:line="520" w:lineRule="atLeast"/>
              <w:jc w:val="center"/>
              <w:rPr>
                <w:rFonts w:hint="eastAsia" w:ascii="仿宋" w:hAnsi="仿宋" w:eastAsia="仿宋" w:cs="仿宋"/>
                <w:b/>
                <w:bCs/>
                <w:color w:val="000000"/>
                <w:kern w:val="0"/>
                <w:sz w:val="24"/>
                <w:lang w:bidi="ar"/>
              </w:rPr>
            </w:pPr>
            <w:r>
              <w:rPr>
                <w:rFonts w:hint="eastAsia" w:ascii="仿宋" w:hAnsi="仿宋" w:eastAsia="仿宋" w:cs="仿宋"/>
                <w:color w:val="000000" w:themeColor="text1"/>
                <w:sz w:val="24"/>
                <w14:textFill>
                  <w14:solidFill>
                    <w14:schemeClr w14:val="tx1"/>
                  </w14:solidFill>
                </w14:textFill>
              </w:rPr>
              <w:t>1</w:t>
            </w:r>
          </w:p>
        </w:tc>
        <w:tc>
          <w:tcPr>
            <w:tcW w:w="871" w:type="pct"/>
            <w:vMerge w:val="restart"/>
            <w:tcBorders>
              <w:top w:val="single" w:color="000000" w:sz="4" w:space="0"/>
              <w:left w:val="single" w:color="auto" w:sz="4" w:space="0"/>
              <w:right w:val="single" w:color="auto" w:sz="4" w:space="0"/>
            </w:tcBorders>
            <w:tcMar>
              <w:top w:w="15" w:type="dxa"/>
              <w:left w:w="15" w:type="dxa"/>
              <w:right w:w="15" w:type="dxa"/>
            </w:tcMar>
            <w:vAlign w:val="center"/>
          </w:tcPr>
          <w:p w14:paraId="5BEDA778">
            <w:pPr>
              <w:widowControl/>
              <w:spacing w:line="520" w:lineRule="atLeast"/>
              <w:jc w:val="center"/>
              <w:rPr>
                <w:rFonts w:hint="default" w:ascii="仿宋" w:hAnsi="仿宋" w:eastAsia="仿宋" w:cs="仿宋"/>
                <w:color w:val="000000"/>
                <w:kern w:val="0"/>
                <w:sz w:val="24"/>
                <w:lang w:val="en-US" w:eastAsia="zh-CN" w:bidi="ar"/>
              </w:rPr>
            </w:pPr>
            <w:r>
              <w:rPr>
                <w:rFonts w:hint="eastAsia" w:ascii="仿宋" w:hAnsi="仿宋" w:eastAsia="仿宋" w:cs="仿宋"/>
                <w:color w:val="000000" w:themeColor="text1"/>
                <w:sz w:val="24"/>
                <w:lang w:val="en-US" w:eastAsia="zh-CN"/>
                <w14:textFill>
                  <w14:solidFill>
                    <w14:schemeClr w14:val="tx1"/>
                  </w14:solidFill>
                </w14:textFill>
              </w:rPr>
              <w:t>详见技术要求</w:t>
            </w:r>
          </w:p>
        </w:tc>
        <w:tc>
          <w:tcPr>
            <w:tcW w:w="1721" w:type="pct"/>
            <w:tcBorders>
              <w:top w:val="single" w:color="000000" w:sz="4" w:space="0"/>
              <w:left w:val="single" w:color="auto" w:sz="4" w:space="0"/>
              <w:bottom w:val="single" w:color="auto" w:sz="4" w:space="0"/>
              <w:right w:val="single" w:color="000000" w:sz="4" w:space="0"/>
            </w:tcBorders>
            <w:vAlign w:val="center"/>
          </w:tcPr>
          <w:p w14:paraId="56577465">
            <w:pPr>
              <w:widowControl/>
              <w:spacing w:line="520" w:lineRule="atLeast"/>
              <w:jc w:val="center"/>
              <w:rPr>
                <w:rFonts w:hint="eastAsia" w:ascii="仿宋" w:hAnsi="仿宋" w:eastAsia="仿宋" w:cs="仿宋"/>
                <w:b/>
                <w:bCs/>
                <w:kern w:val="0"/>
                <w:sz w:val="24"/>
                <w:lang w:bidi="ar"/>
              </w:rPr>
            </w:pPr>
            <w:r>
              <w:rPr>
                <w:rFonts w:hint="eastAsia" w:ascii="仿宋" w:hAnsi="仿宋" w:eastAsia="仿宋" w:cs="仿宋"/>
                <w:b w:val="0"/>
                <w:bCs w:val="0"/>
                <w:kern w:val="0"/>
                <w:sz w:val="24"/>
                <w:lang w:val="en-US" w:eastAsia="zh-CN" w:bidi="ar"/>
              </w:rPr>
              <w:t>常用安防系统及设备器材</w:t>
            </w:r>
            <w:r>
              <w:rPr>
                <w:rFonts w:hint="eastAsia" w:ascii="仿宋" w:hAnsi="仿宋" w:eastAsia="仿宋" w:cs="仿宋"/>
                <w:b w:val="0"/>
                <w:bCs w:val="0"/>
                <w:kern w:val="0"/>
                <w:sz w:val="24"/>
                <w:lang w:val="en-US" w:eastAsia="en-US" w:bidi="ar"/>
              </w:rPr>
              <w:t>报价</w:t>
            </w:r>
            <w:r>
              <w:rPr>
                <w:rFonts w:hint="eastAsia" w:ascii="仿宋" w:hAnsi="仿宋" w:eastAsia="仿宋" w:cs="仿宋"/>
                <w:b w:val="0"/>
                <w:bCs w:val="0"/>
                <w:kern w:val="0"/>
                <w:sz w:val="24"/>
                <w:lang w:val="en-US" w:eastAsia="zh-CN" w:bidi="ar"/>
              </w:rPr>
              <w:t>：</w:t>
            </w:r>
            <w:r>
              <w:rPr>
                <w:rFonts w:hint="eastAsia" w:ascii="仿宋" w:hAnsi="仿宋" w:eastAsia="仿宋" w:cs="仿宋"/>
                <w:b w:val="0"/>
                <w:bCs w:val="0"/>
                <w:kern w:val="0"/>
                <w:sz w:val="24"/>
                <w:u w:val="single"/>
                <w:lang w:val="en-US" w:eastAsia="zh-CN" w:bidi="ar"/>
              </w:rPr>
              <w:t xml:space="preserve">      %</w:t>
            </w:r>
          </w:p>
        </w:tc>
      </w:tr>
      <w:tr w14:paraId="319F1529">
        <w:tblPrEx>
          <w:tblCellMar>
            <w:top w:w="0" w:type="dxa"/>
            <w:left w:w="0" w:type="dxa"/>
            <w:bottom w:w="0" w:type="dxa"/>
            <w:right w:w="0" w:type="dxa"/>
          </w:tblCellMar>
        </w:tblPrEx>
        <w:trPr>
          <w:trHeight w:val="870" w:hRule="atLeast"/>
          <w:jc w:val="center"/>
        </w:trPr>
        <w:tc>
          <w:tcPr>
            <w:tcW w:w="413" w:type="pct"/>
            <w:vMerge w:val="continue"/>
            <w:tcBorders>
              <w:left w:val="single" w:color="000000" w:sz="4" w:space="0"/>
              <w:bottom w:val="single" w:color="000000" w:sz="4" w:space="0"/>
              <w:right w:val="single" w:color="000000" w:sz="4" w:space="0"/>
            </w:tcBorders>
            <w:tcMar>
              <w:top w:w="15" w:type="dxa"/>
              <w:left w:w="15" w:type="dxa"/>
              <w:right w:w="15" w:type="dxa"/>
            </w:tcMar>
            <w:vAlign w:val="center"/>
          </w:tcPr>
          <w:p w14:paraId="3CF30093">
            <w:pPr>
              <w:spacing w:line="520" w:lineRule="atLeast"/>
              <w:jc w:val="center"/>
              <w:rPr>
                <w:rFonts w:hint="eastAsia" w:ascii="仿宋" w:hAnsi="仿宋" w:eastAsia="仿宋" w:cs="仿宋"/>
                <w:sz w:val="24"/>
              </w:rPr>
            </w:pPr>
          </w:p>
        </w:tc>
        <w:tc>
          <w:tcPr>
            <w:tcW w:w="1161" w:type="pct"/>
            <w:vMerge w:val="continue"/>
            <w:tcBorders>
              <w:left w:val="single" w:color="000000" w:sz="4" w:space="0"/>
              <w:bottom w:val="single" w:color="000000" w:sz="4" w:space="0"/>
              <w:right w:val="single" w:color="000000" w:sz="4" w:space="0"/>
            </w:tcBorders>
            <w:tcMar>
              <w:top w:w="15" w:type="dxa"/>
              <w:left w:w="15" w:type="dxa"/>
              <w:right w:w="15" w:type="dxa"/>
            </w:tcMar>
            <w:vAlign w:val="center"/>
          </w:tcPr>
          <w:p w14:paraId="68AD39B7">
            <w:pPr>
              <w:spacing w:line="520" w:lineRule="atLeast"/>
              <w:jc w:val="center"/>
              <w:rPr>
                <w:rFonts w:hint="eastAsia" w:ascii="仿宋" w:hAnsi="仿宋" w:eastAsia="仿宋" w:cs="仿宋"/>
                <w:color w:val="000000" w:themeColor="text1"/>
                <w:sz w:val="24"/>
                <w:lang w:eastAsia="zh-CN"/>
                <w14:textFill>
                  <w14:solidFill>
                    <w14:schemeClr w14:val="tx1"/>
                  </w14:solidFill>
                </w14:textFill>
              </w:rPr>
            </w:pPr>
          </w:p>
        </w:tc>
        <w:tc>
          <w:tcPr>
            <w:tcW w:w="419" w:type="pct"/>
            <w:vMerge w:val="continue"/>
            <w:tcBorders>
              <w:left w:val="single" w:color="auto" w:sz="4" w:space="0"/>
              <w:bottom w:val="single" w:color="000000" w:sz="4" w:space="0"/>
              <w:right w:val="single" w:color="auto" w:sz="4" w:space="0"/>
            </w:tcBorders>
            <w:tcMar>
              <w:top w:w="15" w:type="dxa"/>
              <w:left w:w="15" w:type="dxa"/>
              <w:right w:w="15" w:type="dxa"/>
            </w:tcMar>
            <w:vAlign w:val="center"/>
          </w:tcPr>
          <w:p w14:paraId="04FCA1F6">
            <w:pPr>
              <w:widowControl/>
              <w:spacing w:line="520" w:lineRule="atLeast"/>
              <w:jc w:val="center"/>
              <w:rPr>
                <w:rFonts w:hint="eastAsia" w:ascii="仿宋" w:hAnsi="仿宋" w:eastAsia="仿宋" w:cs="仿宋"/>
                <w:color w:val="000000" w:themeColor="text1"/>
                <w:sz w:val="24"/>
                <w14:textFill>
                  <w14:solidFill>
                    <w14:schemeClr w14:val="tx1"/>
                  </w14:solidFill>
                </w14:textFill>
              </w:rPr>
            </w:pPr>
          </w:p>
        </w:tc>
        <w:tc>
          <w:tcPr>
            <w:tcW w:w="413" w:type="pct"/>
            <w:vMerge w:val="continue"/>
            <w:tcBorders>
              <w:left w:val="single" w:color="auto" w:sz="4" w:space="0"/>
              <w:bottom w:val="single" w:color="000000" w:sz="4" w:space="0"/>
              <w:right w:val="single" w:color="auto" w:sz="4" w:space="0"/>
            </w:tcBorders>
            <w:tcMar>
              <w:top w:w="15" w:type="dxa"/>
              <w:left w:w="15" w:type="dxa"/>
              <w:right w:w="15" w:type="dxa"/>
            </w:tcMar>
            <w:vAlign w:val="center"/>
          </w:tcPr>
          <w:p w14:paraId="2DCC2DB2">
            <w:pPr>
              <w:widowControl/>
              <w:spacing w:line="520" w:lineRule="atLeast"/>
              <w:jc w:val="center"/>
              <w:rPr>
                <w:rFonts w:hint="eastAsia" w:ascii="仿宋" w:hAnsi="仿宋" w:eastAsia="仿宋" w:cs="仿宋"/>
                <w:color w:val="000000" w:themeColor="text1"/>
                <w:sz w:val="24"/>
                <w14:textFill>
                  <w14:solidFill>
                    <w14:schemeClr w14:val="tx1"/>
                  </w14:solidFill>
                </w14:textFill>
              </w:rPr>
            </w:pPr>
          </w:p>
        </w:tc>
        <w:tc>
          <w:tcPr>
            <w:tcW w:w="871" w:type="pct"/>
            <w:vMerge w:val="continue"/>
            <w:tcBorders>
              <w:left w:val="single" w:color="auto" w:sz="4" w:space="0"/>
              <w:bottom w:val="single" w:color="000000" w:sz="4" w:space="0"/>
              <w:right w:val="single" w:color="auto" w:sz="4" w:space="0"/>
            </w:tcBorders>
            <w:tcMar>
              <w:top w:w="15" w:type="dxa"/>
              <w:left w:w="15" w:type="dxa"/>
              <w:right w:w="15" w:type="dxa"/>
            </w:tcMar>
            <w:vAlign w:val="center"/>
          </w:tcPr>
          <w:p w14:paraId="20D0C4A8">
            <w:pPr>
              <w:widowControl/>
              <w:spacing w:line="520" w:lineRule="atLeast"/>
              <w:jc w:val="center"/>
              <w:rPr>
                <w:rFonts w:hint="eastAsia" w:ascii="仿宋" w:hAnsi="仿宋" w:eastAsia="仿宋" w:cs="仿宋"/>
                <w:color w:val="000000" w:themeColor="text1"/>
                <w:sz w:val="24"/>
                <w:lang w:val="en-US" w:eastAsia="zh-CN"/>
                <w14:textFill>
                  <w14:solidFill>
                    <w14:schemeClr w14:val="tx1"/>
                  </w14:solidFill>
                </w14:textFill>
              </w:rPr>
            </w:pPr>
          </w:p>
        </w:tc>
        <w:tc>
          <w:tcPr>
            <w:tcW w:w="1721" w:type="pct"/>
            <w:tcBorders>
              <w:top w:val="single" w:color="auto" w:sz="4" w:space="0"/>
              <w:left w:val="single" w:color="auto" w:sz="4" w:space="0"/>
              <w:bottom w:val="single" w:color="000000" w:sz="4" w:space="0"/>
              <w:right w:val="single" w:color="000000" w:sz="4" w:space="0"/>
            </w:tcBorders>
            <w:vAlign w:val="center"/>
          </w:tcPr>
          <w:p w14:paraId="1A3D0AD1">
            <w:pPr>
              <w:widowControl/>
              <w:spacing w:line="520" w:lineRule="atLeast"/>
              <w:jc w:val="center"/>
              <w:rPr>
                <w:rFonts w:hint="eastAsia" w:ascii="仿宋" w:hAnsi="仿宋" w:eastAsia="仿宋" w:cs="仿宋"/>
                <w:b/>
                <w:bCs/>
                <w:kern w:val="0"/>
                <w:sz w:val="24"/>
                <w:lang w:bidi="ar"/>
              </w:rPr>
            </w:pPr>
            <w:r>
              <w:rPr>
                <w:rFonts w:hint="eastAsia" w:ascii="仿宋" w:hAnsi="仿宋" w:eastAsia="仿宋" w:cs="仿宋"/>
                <w:b w:val="0"/>
                <w:bCs w:val="0"/>
                <w:kern w:val="0"/>
                <w:sz w:val="24"/>
                <w:lang w:val="en-US" w:eastAsia="zh-CN" w:bidi="ar"/>
              </w:rPr>
              <w:t>非常用安防系统及设备器材</w:t>
            </w:r>
            <w:r>
              <w:rPr>
                <w:rFonts w:hint="eastAsia" w:ascii="仿宋" w:hAnsi="仿宋" w:eastAsia="仿宋" w:cs="仿宋"/>
                <w:b w:val="0"/>
                <w:bCs w:val="0"/>
                <w:kern w:val="0"/>
                <w:sz w:val="24"/>
                <w:lang w:val="en-US" w:eastAsia="en-US" w:bidi="ar"/>
              </w:rPr>
              <w:t>报价</w:t>
            </w:r>
            <w:r>
              <w:rPr>
                <w:rFonts w:hint="eastAsia" w:ascii="仿宋" w:hAnsi="仿宋" w:eastAsia="仿宋" w:cs="仿宋"/>
                <w:b w:val="0"/>
                <w:bCs w:val="0"/>
                <w:kern w:val="0"/>
                <w:sz w:val="24"/>
                <w:lang w:val="en-US" w:eastAsia="zh-CN" w:bidi="ar"/>
              </w:rPr>
              <w:t>：</w:t>
            </w:r>
            <w:r>
              <w:rPr>
                <w:rFonts w:hint="eastAsia" w:ascii="仿宋" w:hAnsi="仿宋" w:eastAsia="仿宋" w:cs="仿宋"/>
                <w:b w:val="0"/>
                <w:bCs w:val="0"/>
                <w:kern w:val="0"/>
                <w:sz w:val="24"/>
                <w:u w:val="single"/>
                <w:lang w:val="en-US" w:eastAsia="zh-CN" w:bidi="ar"/>
              </w:rPr>
              <w:t xml:space="preserve">      %</w:t>
            </w:r>
          </w:p>
        </w:tc>
      </w:tr>
    </w:tbl>
    <w:p w14:paraId="0423090C">
      <w:pPr>
        <w:widowControl/>
        <w:shd w:val="clear" w:color="auto" w:fill="FFFFFF"/>
        <w:spacing w:line="520" w:lineRule="exact"/>
        <w:jc w:val="left"/>
        <w:rPr>
          <w:rFonts w:hint="eastAsia" w:ascii="仿宋" w:hAnsi="仿宋" w:eastAsia="仿宋" w:cs="仿宋"/>
          <w:kern w:val="0"/>
          <w:sz w:val="24"/>
        </w:rPr>
      </w:pPr>
      <w:r>
        <w:rPr>
          <w:rFonts w:hint="eastAsia" w:ascii="仿宋" w:hAnsi="仿宋" w:eastAsia="仿宋" w:cs="仿宋"/>
          <w:kern w:val="0"/>
          <w:sz w:val="24"/>
        </w:rPr>
        <w:t>注：</w:t>
      </w:r>
    </w:p>
    <w:p w14:paraId="4F1ED3AC">
      <w:pPr>
        <w:widowControl/>
        <w:shd w:val="clear" w:color="auto" w:fill="FFFFFF"/>
        <w:spacing w:line="520" w:lineRule="exact"/>
        <w:jc w:val="left"/>
        <w:rPr>
          <w:rFonts w:hint="eastAsia" w:ascii="仿宋" w:hAnsi="仿宋" w:eastAsia="仿宋" w:cs="仿宋"/>
          <w:kern w:val="0"/>
          <w:sz w:val="24"/>
        </w:rPr>
      </w:pPr>
      <w:r>
        <w:rPr>
          <w:rFonts w:hint="eastAsia" w:ascii="仿宋" w:hAnsi="仿宋" w:eastAsia="仿宋" w:cs="仿宋"/>
          <w:kern w:val="0"/>
          <w:sz w:val="24"/>
        </w:rPr>
        <w:t>1.报价应是最终用户验收合格后的总价，包括设备运输、保险、代理、安装调试、培训、税费、系统集成费用和采购文件规定的其它费用。</w:t>
      </w:r>
    </w:p>
    <w:p w14:paraId="6CAB3DCE">
      <w:pPr>
        <w:widowControl/>
        <w:shd w:val="clear" w:color="auto" w:fill="FFFFFF"/>
        <w:spacing w:line="520" w:lineRule="exact"/>
        <w:jc w:val="left"/>
        <w:rPr>
          <w:rFonts w:hint="eastAsia" w:ascii="仿宋" w:hAnsi="仿宋" w:eastAsia="仿宋" w:cs="仿宋"/>
          <w:kern w:val="0"/>
          <w:sz w:val="24"/>
        </w:rPr>
      </w:pPr>
      <w:r>
        <w:rPr>
          <w:rFonts w:hint="eastAsia" w:ascii="仿宋" w:hAnsi="仿宋" w:eastAsia="仿宋" w:cs="仿宋"/>
          <w:kern w:val="0"/>
          <w:sz w:val="24"/>
        </w:rPr>
        <w:t>2.“报价表”为多页的，每页均需由法定代表人或授权代表签字并盖供应商印章。</w:t>
      </w:r>
    </w:p>
    <w:p w14:paraId="006EFD41">
      <w:pPr>
        <w:widowControl/>
        <w:shd w:val="clear" w:color="auto" w:fill="FFFFFF"/>
        <w:spacing w:line="520" w:lineRule="exact"/>
        <w:jc w:val="left"/>
        <w:rPr>
          <w:rFonts w:hint="eastAsia" w:ascii="仿宋" w:hAnsi="仿宋" w:eastAsia="仿宋" w:cs="仿宋"/>
          <w:kern w:val="0"/>
          <w:sz w:val="24"/>
        </w:rPr>
      </w:pPr>
      <w:r>
        <w:rPr>
          <w:rFonts w:hint="eastAsia" w:ascii="仿宋" w:hAnsi="仿宋" w:eastAsia="仿宋" w:cs="仿宋"/>
          <w:kern w:val="0"/>
          <w:sz w:val="24"/>
        </w:rPr>
        <w:t>3.单价报价超过单价最高限价的为无效报价，供应商响应文件将作无效响应处理。</w:t>
      </w:r>
      <w:r>
        <w:rPr>
          <w:rFonts w:hint="eastAsia" w:ascii="仿宋" w:hAnsi="仿宋" w:eastAsia="仿宋" w:cs="仿宋"/>
          <w:kern w:val="0"/>
          <w:sz w:val="24"/>
          <w:lang w:val="en-US" w:eastAsia="zh-CN"/>
        </w:rPr>
        <w:t>4.报价举例：供应商如折扣率报价为80%（即为打8折），如折扣率报价为100%（即为不打折）。折扣率不能超过100%，</w:t>
      </w:r>
      <w:r>
        <w:rPr>
          <w:rFonts w:hint="eastAsia" w:ascii="仿宋" w:hAnsi="仿宋" w:eastAsia="仿宋" w:cs="仿宋"/>
          <w:kern w:val="0"/>
          <w:sz w:val="24"/>
        </w:rPr>
        <w:t>响应文件将作无效响应处理。</w:t>
      </w:r>
    </w:p>
    <w:p w14:paraId="3CF64C01">
      <w:pPr>
        <w:widowControl/>
        <w:shd w:val="clear" w:color="auto" w:fill="FFFFFF"/>
        <w:spacing w:line="520" w:lineRule="exact"/>
        <w:jc w:val="left"/>
        <w:rPr>
          <w:rFonts w:hint="eastAsia" w:ascii="仿宋" w:hAnsi="仿宋" w:eastAsia="仿宋" w:cs="仿宋"/>
          <w:kern w:val="0"/>
          <w:sz w:val="24"/>
        </w:rPr>
      </w:pPr>
      <w:r>
        <w:rPr>
          <w:rFonts w:hint="eastAsia" w:ascii="仿宋" w:hAnsi="仿宋" w:eastAsia="仿宋" w:cs="仿宋"/>
          <w:kern w:val="0"/>
          <w:sz w:val="24"/>
          <w:lang w:val="en-US" w:eastAsia="zh-CN"/>
        </w:rPr>
        <w:t>5</w:t>
      </w:r>
      <w:r>
        <w:rPr>
          <w:rFonts w:hint="eastAsia" w:ascii="仿宋" w:hAnsi="仿宋" w:eastAsia="仿宋" w:cs="仿宋"/>
          <w:kern w:val="0"/>
          <w:sz w:val="24"/>
        </w:rPr>
        <w:t>.两轮（若有）以上报价的，供应商在未提高响应文件中承诺的产品及其服务质量的情况下，其最后报价不得高于对该项目之前的报价。</w:t>
      </w:r>
    </w:p>
    <w:p w14:paraId="4FCE8E57">
      <w:pPr>
        <w:widowControl/>
        <w:shd w:val="clear" w:color="auto" w:fill="FFFFFF"/>
        <w:spacing w:line="520" w:lineRule="exact"/>
        <w:jc w:val="left"/>
        <w:rPr>
          <w:rFonts w:hint="eastAsia" w:ascii="仿宋" w:hAnsi="仿宋" w:eastAsia="仿宋" w:cs="仿宋"/>
          <w:kern w:val="0"/>
          <w:sz w:val="24"/>
        </w:rPr>
      </w:pPr>
      <w:r>
        <w:rPr>
          <w:rFonts w:hint="eastAsia" w:ascii="仿宋" w:hAnsi="仿宋" w:eastAsia="仿宋" w:cs="仿宋"/>
          <w:kern w:val="0"/>
          <w:sz w:val="24"/>
          <w:lang w:val="en-US" w:eastAsia="zh-CN"/>
        </w:rPr>
        <w:t>6</w:t>
      </w:r>
      <w:r>
        <w:rPr>
          <w:rFonts w:hint="eastAsia" w:ascii="仿宋" w:hAnsi="仿宋" w:eastAsia="仿宋" w:cs="仿宋"/>
          <w:kern w:val="0"/>
          <w:sz w:val="24"/>
        </w:rPr>
        <w:t>.“最后报价表”需单独密封。</w:t>
      </w:r>
    </w:p>
    <w:p w14:paraId="3DA9DF7E">
      <w:pPr>
        <w:pStyle w:val="2"/>
        <w:rPr>
          <w:rFonts w:hint="eastAsia" w:ascii="仿宋" w:hAnsi="仿宋" w:eastAsia="仿宋" w:cs="仿宋"/>
          <w:kern w:val="0"/>
          <w:sz w:val="24"/>
        </w:rPr>
      </w:pPr>
    </w:p>
    <w:p w14:paraId="5E63DB4D">
      <w:pPr>
        <w:rPr>
          <w:rFonts w:hint="eastAsia" w:ascii="仿宋" w:hAnsi="仿宋" w:eastAsia="仿宋" w:cs="仿宋"/>
          <w:kern w:val="0"/>
          <w:sz w:val="24"/>
        </w:rPr>
      </w:pPr>
    </w:p>
    <w:p w14:paraId="44F2F02A">
      <w:pPr>
        <w:pStyle w:val="2"/>
        <w:rPr>
          <w:rFonts w:hint="eastAsia"/>
        </w:rPr>
      </w:pPr>
      <w:bookmarkStart w:id="1" w:name="_GoBack"/>
      <w:bookmarkEnd w:id="1"/>
    </w:p>
    <w:p w14:paraId="42378BF4">
      <w:pPr>
        <w:widowControl/>
        <w:shd w:val="clear" w:color="auto" w:fill="FFFFFF"/>
        <w:spacing w:line="520" w:lineRule="exact"/>
        <w:jc w:val="left"/>
        <w:rPr>
          <w:rFonts w:hint="eastAsia" w:ascii="仿宋" w:hAnsi="仿宋" w:eastAsia="仿宋" w:cs="仿宋"/>
          <w:kern w:val="0"/>
          <w:sz w:val="24"/>
        </w:rPr>
      </w:pPr>
      <w:r>
        <w:rPr>
          <w:rFonts w:hint="eastAsia" w:ascii="仿宋" w:hAnsi="仿宋" w:eastAsia="仿宋" w:cs="仿宋"/>
          <w:kern w:val="0"/>
          <w:sz w:val="24"/>
        </w:rPr>
        <w:t>供应商名称：（盖章）</w:t>
      </w:r>
    </w:p>
    <w:p w14:paraId="6800DC24">
      <w:pPr>
        <w:widowControl/>
        <w:shd w:val="clear" w:color="auto" w:fill="FFFFFF"/>
        <w:spacing w:line="520" w:lineRule="exact"/>
        <w:jc w:val="left"/>
        <w:rPr>
          <w:rFonts w:hint="eastAsia" w:ascii="仿宋" w:hAnsi="仿宋" w:eastAsia="仿宋" w:cs="仿宋"/>
          <w:kern w:val="0"/>
          <w:sz w:val="24"/>
        </w:rPr>
      </w:pPr>
      <w:r>
        <w:rPr>
          <w:rFonts w:hint="eastAsia" w:ascii="仿宋" w:hAnsi="仿宋" w:eastAsia="仿宋" w:cs="仿宋"/>
          <w:kern w:val="0"/>
          <w:sz w:val="24"/>
        </w:rPr>
        <w:t>法定代表人或授权代表（签字）：</w:t>
      </w:r>
    </w:p>
    <w:p w14:paraId="040A3C61">
      <w:pPr>
        <w:widowControl/>
        <w:shd w:val="clear" w:color="auto" w:fill="FFFFFF"/>
        <w:spacing w:line="520" w:lineRule="exact"/>
        <w:jc w:val="left"/>
        <w:rPr>
          <w:rFonts w:hint="eastAsia" w:ascii="仿宋" w:hAnsi="仿宋" w:eastAsia="仿宋" w:cs="仿宋"/>
          <w:kern w:val="0"/>
          <w:sz w:val="24"/>
        </w:rPr>
      </w:pPr>
      <w:r>
        <w:rPr>
          <w:rFonts w:hint="eastAsia" w:ascii="仿宋" w:hAnsi="仿宋" w:eastAsia="仿宋" w:cs="仿宋"/>
          <w:kern w:val="0"/>
          <w:sz w:val="24"/>
        </w:rPr>
        <w:t>日期：</w:t>
      </w:r>
    </w:p>
    <w:p w14:paraId="17BB0CEA">
      <w:pPr>
        <w:spacing w:after="160" w:line="400" w:lineRule="exact"/>
        <w:rPr>
          <w:rFonts w:hint="eastAsia" w:ascii="仿宋" w:hAnsi="仿宋" w:eastAsia="仿宋" w:cs="仿宋"/>
          <w:b/>
          <w:bCs/>
          <w:kern w:val="0"/>
          <w:sz w:val="24"/>
        </w:rPr>
      </w:pPr>
      <w:r>
        <w:rPr>
          <w:rFonts w:hint="eastAsia" w:ascii="仿宋" w:hAnsi="仿宋" w:eastAsia="仿宋" w:cs="仿宋"/>
          <w:b/>
          <w:bCs/>
          <w:kern w:val="0"/>
          <w:sz w:val="24"/>
        </w:rPr>
        <w:br w:type="page"/>
      </w:r>
    </w:p>
    <w:p w14:paraId="7DEB1EE8">
      <w:pPr>
        <w:widowControl/>
        <w:adjustRightInd w:val="0"/>
        <w:snapToGrid w:val="0"/>
        <w:spacing w:line="580" w:lineRule="exact"/>
        <w:jc w:val="left"/>
        <w:outlineLvl w:val="1"/>
        <w:rPr>
          <w:rFonts w:hint="eastAsia" w:ascii="仿宋" w:hAnsi="仿宋" w:eastAsia="仿宋" w:cs="仿宋"/>
          <w:sz w:val="28"/>
          <w:szCs w:val="32"/>
        </w:rPr>
      </w:pPr>
      <w:r>
        <w:rPr>
          <w:rFonts w:hint="eastAsia" w:ascii="仿宋" w:hAnsi="仿宋" w:eastAsia="仿宋" w:cs="仿宋"/>
          <w:sz w:val="28"/>
          <w:szCs w:val="32"/>
        </w:rPr>
        <w:t>附件5-3：技术、商务要求偏离表</w:t>
      </w:r>
    </w:p>
    <w:p w14:paraId="400DA96F">
      <w:pPr>
        <w:widowControl/>
        <w:spacing w:after="312" w:afterLines="100" w:line="660" w:lineRule="exact"/>
        <w:jc w:val="center"/>
        <w:rPr>
          <w:rFonts w:hint="eastAsia" w:ascii="方正小标宋简体" w:hAnsi="仿宋" w:eastAsia="方正小标宋简体" w:cs="仿宋"/>
          <w:b/>
          <w:bCs/>
          <w:kern w:val="0"/>
          <w:sz w:val="44"/>
          <w:szCs w:val="44"/>
        </w:rPr>
      </w:pPr>
      <w:r>
        <w:rPr>
          <w:rFonts w:hint="eastAsia" w:ascii="方正小标宋简体" w:hAnsi="仿宋" w:eastAsia="方正小标宋简体" w:cs="仿宋"/>
          <w:b/>
          <w:bCs/>
          <w:kern w:val="0"/>
          <w:sz w:val="44"/>
          <w:szCs w:val="44"/>
        </w:rPr>
        <w:t>技术、商务要求偏离表</w:t>
      </w:r>
    </w:p>
    <w:tbl>
      <w:tblPr>
        <w:tblStyle w:val="14"/>
        <w:tblW w:w="0" w:type="auto"/>
        <w:jc w:val="center"/>
        <w:tblLayout w:type="autofit"/>
        <w:tblCellMar>
          <w:top w:w="0" w:type="dxa"/>
          <w:left w:w="0" w:type="dxa"/>
          <w:bottom w:w="0" w:type="dxa"/>
          <w:right w:w="0" w:type="dxa"/>
        </w:tblCellMar>
      </w:tblPr>
      <w:tblGrid>
        <w:gridCol w:w="1055"/>
        <w:gridCol w:w="2299"/>
        <w:gridCol w:w="2299"/>
        <w:gridCol w:w="2869"/>
      </w:tblGrid>
      <w:tr w14:paraId="2087087C">
        <w:tblPrEx>
          <w:tblCellMar>
            <w:top w:w="0" w:type="dxa"/>
            <w:left w:w="0" w:type="dxa"/>
            <w:bottom w:w="0" w:type="dxa"/>
            <w:right w:w="0" w:type="dxa"/>
          </w:tblCellMar>
        </w:tblPrEx>
        <w:trPr>
          <w:trHeight w:val="600" w:hRule="atLeast"/>
          <w:jc w:val="center"/>
        </w:trPr>
        <w:tc>
          <w:tcPr>
            <w:tcW w:w="1215"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729EA9A">
            <w:pPr>
              <w:widowControl/>
              <w:wordWrap w:val="0"/>
              <w:spacing w:line="270" w:lineRule="atLeast"/>
              <w:jc w:val="center"/>
              <w:rPr>
                <w:rFonts w:hint="eastAsia" w:ascii="仿宋" w:hAnsi="仿宋" w:eastAsia="仿宋" w:cs="仿宋"/>
                <w:kern w:val="0"/>
                <w:sz w:val="18"/>
                <w:szCs w:val="18"/>
              </w:rPr>
            </w:pPr>
            <w:r>
              <w:rPr>
                <w:rFonts w:hint="eastAsia" w:ascii="仿宋" w:hAnsi="仿宋" w:eastAsia="仿宋" w:cs="仿宋"/>
                <w:kern w:val="0"/>
                <w:sz w:val="24"/>
              </w:rPr>
              <w:t>序号</w:t>
            </w:r>
          </w:p>
        </w:tc>
        <w:tc>
          <w:tcPr>
            <w:tcW w:w="279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4E1A09A2">
            <w:pPr>
              <w:widowControl/>
              <w:wordWrap w:val="0"/>
              <w:spacing w:line="270" w:lineRule="atLeast"/>
              <w:jc w:val="center"/>
              <w:rPr>
                <w:rFonts w:hint="eastAsia" w:ascii="仿宋" w:hAnsi="仿宋" w:eastAsia="仿宋" w:cs="仿宋"/>
                <w:kern w:val="0"/>
                <w:sz w:val="18"/>
                <w:szCs w:val="18"/>
              </w:rPr>
            </w:pPr>
            <w:r>
              <w:rPr>
                <w:rFonts w:hint="eastAsia" w:ascii="仿宋" w:hAnsi="仿宋" w:eastAsia="仿宋" w:cs="仿宋"/>
                <w:kern w:val="0"/>
                <w:sz w:val="24"/>
              </w:rPr>
              <w:t>采购文件要求</w:t>
            </w:r>
          </w:p>
        </w:tc>
        <w:tc>
          <w:tcPr>
            <w:tcW w:w="279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57F07713">
            <w:pPr>
              <w:widowControl/>
              <w:wordWrap w:val="0"/>
              <w:spacing w:line="270" w:lineRule="atLeast"/>
              <w:jc w:val="center"/>
              <w:rPr>
                <w:rFonts w:hint="eastAsia" w:ascii="仿宋" w:hAnsi="仿宋" w:eastAsia="仿宋" w:cs="仿宋"/>
                <w:kern w:val="0"/>
                <w:sz w:val="18"/>
                <w:szCs w:val="18"/>
              </w:rPr>
            </w:pPr>
            <w:r>
              <w:rPr>
                <w:rFonts w:hint="eastAsia" w:ascii="仿宋" w:hAnsi="仿宋" w:eastAsia="仿宋" w:cs="仿宋"/>
                <w:kern w:val="0"/>
                <w:sz w:val="24"/>
              </w:rPr>
              <w:t>供应商响应</w:t>
            </w:r>
          </w:p>
        </w:tc>
        <w:tc>
          <w:tcPr>
            <w:tcW w:w="351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3F14EAF8">
            <w:pPr>
              <w:widowControl/>
              <w:wordWrap w:val="0"/>
              <w:spacing w:line="270" w:lineRule="atLeast"/>
              <w:jc w:val="center"/>
              <w:rPr>
                <w:rFonts w:hint="eastAsia" w:ascii="仿宋" w:hAnsi="仿宋" w:eastAsia="仿宋" w:cs="仿宋"/>
                <w:kern w:val="0"/>
                <w:sz w:val="18"/>
                <w:szCs w:val="18"/>
              </w:rPr>
            </w:pPr>
            <w:r>
              <w:rPr>
                <w:rFonts w:hint="eastAsia" w:ascii="仿宋" w:hAnsi="仿宋" w:eastAsia="仿宋" w:cs="仿宋"/>
                <w:kern w:val="0"/>
                <w:sz w:val="24"/>
              </w:rPr>
              <w:t>偏离及其影响</w:t>
            </w:r>
          </w:p>
        </w:tc>
      </w:tr>
      <w:tr w14:paraId="66054420">
        <w:tblPrEx>
          <w:tblCellMar>
            <w:top w:w="0" w:type="dxa"/>
            <w:left w:w="0" w:type="dxa"/>
            <w:bottom w:w="0" w:type="dxa"/>
            <w:right w:w="0" w:type="dxa"/>
          </w:tblCellMar>
        </w:tblPrEx>
        <w:trPr>
          <w:trHeight w:val="465" w:hRule="atLeast"/>
          <w:jc w:val="center"/>
        </w:trPr>
        <w:tc>
          <w:tcPr>
            <w:tcW w:w="1215" w:type="dxa"/>
            <w:tcBorders>
              <w:top w:val="nil"/>
              <w:left w:val="single" w:color="auto" w:sz="8" w:space="0"/>
              <w:bottom w:val="single" w:color="auto" w:sz="8" w:space="0"/>
              <w:right w:val="single" w:color="auto" w:sz="8" w:space="0"/>
            </w:tcBorders>
            <w:tcMar>
              <w:top w:w="0" w:type="dxa"/>
              <w:left w:w="108" w:type="dxa"/>
              <w:bottom w:w="0" w:type="dxa"/>
              <w:right w:w="108" w:type="dxa"/>
            </w:tcMar>
          </w:tcPr>
          <w:p w14:paraId="775D2F19">
            <w:pPr>
              <w:widowControl/>
              <w:wordWrap w:val="0"/>
              <w:spacing w:line="270" w:lineRule="atLeast"/>
              <w:jc w:val="center"/>
              <w:rPr>
                <w:rFonts w:hint="eastAsia" w:ascii="仿宋" w:hAnsi="仿宋" w:eastAsia="仿宋" w:cs="仿宋"/>
                <w:kern w:val="0"/>
                <w:sz w:val="18"/>
                <w:szCs w:val="18"/>
              </w:rPr>
            </w:pPr>
          </w:p>
        </w:tc>
        <w:tc>
          <w:tcPr>
            <w:tcW w:w="2790" w:type="dxa"/>
            <w:tcBorders>
              <w:top w:val="nil"/>
              <w:left w:val="nil"/>
              <w:bottom w:val="single" w:color="auto" w:sz="8" w:space="0"/>
              <w:right w:val="single" w:color="auto" w:sz="8" w:space="0"/>
            </w:tcBorders>
            <w:tcMar>
              <w:top w:w="0" w:type="dxa"/>
              <w:left w:w="108" w:type="dxa"/>
              <w:bottom w:w="0" w:type="dxa"/>
              <w:right w:w="108" w:type="dxa"/>
            </w:tcMar>
          </w:tcPr>
          <w:p w14:paraId="4CE4B8CF">
            <w:pPr>
              <w:widowControl/>
              <w:wordWrap w:val="0"/>
              <w:spacing w:line="270" w:lineRule="atLeast"/>
              <w:jc w:val="center"/>
              <w:rPr>
                <w:rFonts w:hint="eastAsia" w:ascii="仿宋" w:hAnsi="仿宋" w:eastAsia="仿宋" w:cs="仿宋"/>
                <w:kern w:val="0"/>
                <w:sz w:val="18"/>
                <w:szCs w:val="18"/>
              </w:rPr>
            </w:pPr>
          </w:p>
        </w:tc>
        <w:tc>
          <w:tcPr>
            <w:tcW w:w="2790" w:type="dxa"/>
            <w:tcBorders>
              <w:top w:val="nil"/>
              <w:left w:val="nil"/>
              <w:bottom w:val="single" w:color="auto" w:sz="8" w:space="0"/>
              <w:right w:val="single" w:color="auto" w:sz="8" w:space="0"/>
            </w:tcBorders>
            <w:tcMar>
              <w:top w:w="0" w:type="dxa"/>
              <w:left w:w="108" w:type="dxa"/>
              <w:bottom w:w="0" w:type="dxa"/>
              <w:right w:w="108" w:type="dxa"/>
            </w:tcMar>
          </w:tcPr>
          <w:p w14:paraId="7D92B83C">
            <w:pPr>
              <w:widowControl/>
              <w:wordWrap w:val="0"/>
              <w:spacing w:line="270" w:lineRule="atLeast"/>
              <w:jc w:val="center"/>
              <w:rPr>
                <w:rFonts w:hint="eastAsia" w:ascii="仿宋" w:hAnsi="仿宋" w:eastAsia="仿宋" w:cs="仿宋"/>
                <w:kern w:val="0"/>
                <w:sz w:val="18"/>
                <w:szCs w:val="18"/>
              </w:rPr>
            </w:pPr>
          </w:p>
        </w:tc>
        <w:tc>
          <w:tcPr>
            <w:tcW w:w="3510" w:type="dxa"/>
            <w:tcBorders>
              <w:top w:val="nil"/>
              <w:left w:val="nil"/>
              <w:bottom w:val="single" w:color="auto" w:sz="8" w:space="0"/>
              <w:right w:val="single" w:color="auto" w:sz="8" w:space="0"/>
            </w:tcBorders>
            <w:tcMar>
              <w:top w:w="0" w:type="dxa"/>
              <w:left w:w="108" w:type="dxa"/>
              <w:bottom w:w="0" w:type="dxa"/>
              <w:right w:w="108" w:type="dxa"/>
            </w:tcMar>
          </w:tcPr>
          <w:p w14:paraId="00B2CA3D">
            <w:pPr>
              <w:widowControl/>
              <w:wordWrap w:val="0"/>
              <w:spacing w:line="270" w:lineRule="atLeast"/>
              <w:jc w:val="center"/>
              <w:rPr>
                <w:rFonts w:hint="eastAsia" w:ascii="仿宋" w:hAnsi="仿宋" w:eastAsia="仿宋" w:cs="仿宋"/>
                <w:kern w:val="0"/>
                <w:sz w:val="18"/>
                <w:szCs w:val="18"/>
              </w:rPr>
            </w:pPr>
          </w:p>
        </w:tc>
      </w:tr>
      <w:tr w14:paraId="23655E9E">
        <w:tblPrEx>
          <w:tblCellMar>
            <w:top w:w="0" w:type="dxa"/>
            <w:left w:w="0" w:type="dxa"/>
            <w:bottom w:w="0" w:type="dxa"/>
            <w:right w:w="0" w:type="dxa"/>
          </w:tblCellMar>
        </w:tblPrEx>
        <w:trPr>
          <w:trHeight w:val="450" w:hRule="atLeast"/>
          <w:jc w:val="center"/>
        </w:trPr>
        <w:tc>
          <w:tcPr>
            <w:tcW w:w="1215" w:type="dxa"/>
            <w:tcBorders>
              <w:top w:val="nil"/>
              <w:left w:val="single" w:color="auto" w:sz="8" w:space="0"/>
              <w:bottom w:val="single" w:color="auto" w:sz="8" w:space="0"/>
              <w:right w:val="single" w:color="auto" w:sz="8" w:space="0"/>
            </w:tcBorders>
            <w:tcMar>
              <w:top w:w="0" w:type="dxa"/>
              <w:left w:w="108" w:type="dxa"/>
              <w:bottom w:w="0" w:type="dxa"/>
              <w:right w:w="108" w:type="dxa"/>
            </w:tcMar>
          </w:tcPr>
          <w:p w14:paraId="731361C8">
            <w:pPr>
              <w:widowControl/>
              <w:wordWrap w:val="0"/>
              <w:spacing w:line="270" w:lineRule="atLeast"/>
              <w:jc w:val="center"/>
              <w:rPr>
                <w:rFonts w:hint="eastAsia" w:ascii="仿宋" w:hAnsi="仿宋" w:eastAsia="仿宋" w:cs="仿宋"/>
                <w:kern w:val="0"/>
                <w:sz w:val="18"/>
                <w:szCs w:val="18"/>
              </w:rPr>
            </w:pPr>
          </w:p>
        </w:tc>
        <w:tc>
          <w:tcPr>
            <w:tcW w:w="2790" w:type="dxa"/>
            <w:tcBorders>
              <w:top w:val="nil"/>
              <w:left w:val="nil"/>
              <w:bottom w:val="single" w:color="auto" w:sz="8" w:space="0"/>
              <w:right w:val="single" w:color="auto" w:sz="8" w:space="0"/>
            </w:tcBorders>
            <w:tcMar>
              <w:top w:w="0" w:type="dxa"/>
              <w:left w:w="108" w:type="dxa"/>
              <w:bottom w:w="0" w:type="dxa"/>
              <w:right w:w="108" w:type="dxa"/>
            </w:tcMar>
          </w:tcPr>
          <w:p w14:paraId="499B1903">
            <w:pPr>
              <w:widowControl/>
              <w:wordWrap w:val="0"/>
              <w:spacing w:line="270" w:lineRule="atLeast"/>
              <w:jc w:val="center"/>
              <w:rPr>
                <w:rFonts w:hint="eastAsia" w:ascii="仿宋" w:hAnsi="仿宋" w:eastAsia="仿宋" w:cs="仿宋"/>
                <w:kern w:val="0"/>
                <w:sz w:val="18"/>
                <w:szCs w:val="18"/>
              </w:rPr>
            </w:pPr>
          </w:p>
        </w:tc>
        <w:tc>
          <w:tcPr>
            <w:tcW w:w="2790" w:type="dxa"/>
            <w:tcBorders>
              <w:top w:val="nil"/>
              <w:left w:val="nil"/>
              <w:bottom w:val="single" w:color="auto" w:sz="8" w:space="0"/>
              <w:right w:val="single" w:color="auto" w:sz="8" w:space="0"/>
            </w:tcBorders>
            <w:tcMar>
              <w:top w:w="0" w:type="dxa"/>
              <w:left w:w="108" w:type="dxa"/>
              <w:bottom w:w="0" w:type="dxa"/>
              <w:right w:w="108" w:type="dxa"/>
            </w:tcMar>
          </w:tcPr>
          <w:p w14:paraId="5E1B5C88">
            <w:pPr>
              <w:widowControl/>
              <w:wordWrap w:val="0"/>
              <w:spacing w:line="270" w:lineRule="atLeast"/>
              <w:jc w:val="center"/>
              <w:rPr>
                <w:rFonts w:hint="eastAsia" w:ascii="仿宋" w:hAnsi="仿宋" w:eastAsia="仿宋" w:cs="仿宋"/>
                <w:kern w:val="0"/>
                <w:sz w:val="18"/>
                <w:szCs w:val="18"/>
              </w:rPr>
            </w:pPr>
          </w:p>
        </w:tc>
        <w:tc>
          <w:tcPr>
            <w:tcW w:w="3510" w:type="dxa"/>
            <w:tcBorders>
              <w:top w:val="nil"/>
              <w:left w:val="nil"/>
              <w:bottom w:val="single" w:color="auto" w:sz="8" w:space="0"/>
              <w:right w:val="single" w:color="auto" w:sz="8" w:space="0"/>
            </w:tcBorders>
            <w:tcMar>
              <w:top w:w="0" w:type="dxa"/>
              <w:left w:w="108" w:type="dxa"/>
              <w:bottom w:w="0" w:type="dxa"/>
              <w:right w:w="108" w:type="dxa"/>
            </w:tcMar>
          </w:tcPr>
          <w:p w14:paraId="5AB9C271">
            <w:pPr>
              <w:widowControl/>
              <w:wordWrap w:val="0"/>
              <w:spacing w:line="270" w:lineRule="atLeast"/>
              <w:jc w:val="center"/>
              <w:rPr>
                <w:rFonts w:hint="eastAsia" w:ascii="仿宋" w:hAnsi="仿宋" w:eastAsia="仿宋" w:cs="仿宋"/>
                <w:kern w:val="0"/>
                <w:sz w:val="18"/>
                <w:szCs w:val="18"/>
              </w:rPr>
            </w:pPr>
          </w:p>
        </w:tc>
      </w:tr>
    </w:tbl>
    <w:p w14:paraId="02EB86A7">
      <w:pPr>
        <w:widowControl/>
        <w:shd w:val="clear" w:color="auto" w:fill="FFFFFF"/>
        <w:wordWrap w:val="0"/>
        <w:spacing w:line="360" w:lineRule="auto"/>
        <w:ind w:firstLine="480"/>
        <w:jc w:val="left"/>
        <w:rPr>
          <w:rFonts w:hint="eastAsia" w:ascii="仿宋" w:hAnsi="仿宋" w:eastAsia="仿宋" w:cs="仿宋"/>
          <w:kern w:val="0"/>
          <w:sz w:val="22"/>
        </w:rPr>
      </w:pPr>
      <w:r>
        <w:rPr>
          <w:rFonts w:hint="eastAsia" w:ascii="仿宋" w:hAnsi="仿宋" w:eastAsia="仿宋" w:cs="仿宋"/>
          <w:kern w:val="0"/>
          <w:sz w:val="22"/>
        </w:rPr>
        <w:t>注：</w:t>
      </w:r>
    </w:p>
    <w:p w14:paraId="20997170">
      <w:pPr>
        <w:widowControl/>
        <w:shd w:val="clear" w:color="auto" w:fill="FFFFFF"/>
        <w:wordWrap w:val="0"/>
        <w:spacing w:line="360" w:lineRule="auto"/>
        <w:ind w:firstLine="420"/>
        <w:jc w:val="left"/>
        <w:rPr>
          <w:rFonts w:hint="eastAsia" w:ascii="仿宋" w:hAnsi="仿宋" w:eastAsia="仿宋" w:cs="仿宋"/>
          <w:kern w:val="0"/>
          <w:sz w:val="22"/>
        </w:rPr>
      </w:pPr>
      <w:r>
        <w:rPr>
          <w:rFonts w:hint="eastAsia" w:ascii="仿宋" w:hAnsi="仿宋" w:eastAsia="仿宋" w:cs="仿宋"/>
          <w:kern w:val="0"/>
          <w:sz w:val="22"/>
        </w:rPr>
        <w:t>1.供应商根据附件1“采购需求”中的“技术要求”、“商务要求”，对应进行填写。未单独填写的条款，视为默认响应。</w:t>
      </w:r>
    </w:p>
    <w:p w14:paraId="39A19514">
      <w:pPr>
        <w:widowControl/>
        <w:shd w:val="clear" w:color="auto" w:fill="FFFFFF"/>
        <w:wordWrap w:val="0"/>
        <w:spacing w:line="360" w:lineRule="auto"/>
        <w:ind w:firstLine="420"/>
        <w:jc w:val="left"/>
        <w:rPr>
          <w:rFonts w:hint="eastAsia" w:ascii="仿宋" w:hAnsi="仿宋" w:eastAsia="仿宋" w:cs="仿宋"/>
          <w:kern w:val="0"/>
          <w:sz w:val="22"/>
        </w:rPr>
      </w:pPr>
      <w:r>
        <w:rPr>
          <w:rFonts w:hint="eastAsia" w:ascii="仿宋" w:hAnsi="仿宋" w:eastAsia="仿宋" w:cs="仿宋"/>
          <w:kern w:val="0"/>
          <w:sz w:val="22"/>
        </w:rPr>
        <w:t>2.若无偏离，可在偏离情况中填“/”；若有偏离，需在偏离情况中进行说明；</w:t>
      </w:r>
    </w:p>
    <w:p w14:paraId="06E10460">
      <w:pPr>
        <w:widowControl/>
        <w:shd w:val="clear" w:color="auto" w:fill="FFFFFF"/>
        <w:wordWrap w:val="0"/>
        <w:spacing w:line="360" w:lineRule="auto"/>
        <w:ind w:firstLine="420"/>
        <w:jc w:val="left"/>
        <w:rPr>
          <w:rFonts w:hint="eastAsia" w:ascii="仿宋" w:hAnsi="仿宋" w:eastAsia="仿宋" w:cs="仿宋"/>
          <w:kern w:val="0"/>
          <w:sz w:val="22"/>
        </w:rPr>
      </w:pPr>
      <w:r>
        <w:rPr>
          <w:rFonts w:hint="eastAsia" w:ascii="仿宋" w:hAnsi="仿宋" w:eastAsia="仿宋" w:cs="仿宋"/>
          <w:kern w:val="0"/>
          <w:sz w:val="22"/>
        </w:rPr>
        <w:t>3.若“技术要求”、“商务要求”要求提供证明材料，需按要求提供证明材料。</w:t>
      </w:r>
    </w:p>
    <w:p w14:paraId="01717DC4">
      <w:pPr>
        <w:widowControl/>
        <w:shd w:val="clear" w:color="auto" w:fill="FFFFFF"/>
        <w:wordWrap w:val="0"/>
        <w:spacing w:line="360" w:lineRule="auto"/>
        <w:ind w:firstLine="420"/>
        <w:jc w:val="left"/>
        <w:rPr>
          <w:rFonts w:hint="eastAsia" w:ascii="仿宋" w:hAnsi="仿宋" w:eastAsia="仿宋" w:cs="仿宋"/>
          <w:kern w:val="0"/>
          <w:sz w:val="22"/>
        </w:rPr>
      </w:pPr>
    </w:p>
    <w:p w14:paraId="79F28617">
      <w:pPr>
        <w:widowControl/>
        <w:shd w:val="clear" w:color="auto" w:fill="FFFFFF"/>
        <w:wordWrap w:val="0"/>
        <w:spacing w:line="360" w:lineRule="auto"/>
        <w:ind w:firstLine="420"/>
        <w:jc w:val="left"/>
        <w:rPr>
          <w:rFonts w:hint="eastAsia" w:ascii="仿宋" w:hAnsi="仿宋" w:eastAsia="仿宋" w:cs="仿宋"/>
          <w:kern w:val="0"/>
          <w:sz w:val="22"/>
        </w:rPr>
      </w:pPr>
    </w:p>
    <w:p w14:paraId="680F21E8">
      <w:pPr>
        <w:widowControl/>
        <w:shd w:val="clear" w:color="auto" w:fill="FFFFFF"/>
        <w:wordWrap w:val="0"/>
        <w:spacing w:line="360" w:lineRule="auto"/>
        <w:ind w:firstLine="420"/>
        <w:jc w:val="left"/>
        <w:rPr>
          <w:rFonts w:hint="eastAsia" w:ascii="仿宋" w:hAnsi="仿宋" w:eastAsia="仿宋" w:cs="仿宋"/>
          <w:kern w:val="0"/>
          <w:sz w:val="22"/>
        </w:rPr>
      </w:pPr>
      <w:r>
        <w:rPr>
          <w:rFonts w:hint="eastAsia" w:ascii="仿宋" w:hAnsi="仿宋" w:eastAsia="仿宋" w:cs="仿宋"/>
          <w:kern w:val="0"/>
          <w:sz w:val="22"/>
        </w:rPr>
        <w:t>供应商名称：XXXX（盖单位公章）</w:t>
      </w:r>
    </w:p>
    <w:p w14:paraId="2794A8E9">
      <w:pPr>
        <w:widowControl/>
        <w:shd w:val="clear" w:color="auto" w:fill="FFFFFF"/>
        <w:wordWrap w:val="0"/>
        <w:spacing w:line="360" w:lineRule="auto"/>
        <w:ind w:firstLine="420"/>
        <w:jc w:val="left"/>
        <w:rPr>
          <w:rFonts w:hint="eastAsia" w:ascii="仿宋" w:hAnsi="仿宋" w:eastAsia="仿宋" w:cs="仿宋"/>
          <w:kern w:val="0"/>
          <w:sz w:val="18"/>
          <w:szCs w:val="18"/>
        </w:rPr>
      </w:pPr>
      <w:r>
        <w:rPr>
          <w:rFonts w:hint="eastAsia" w:ascii="仿宋" w:hAnsi="仿宋" w:eastAsia="仿宋" w:cs="仿宋"/>
          <w:kern w:val="0"/>
          <w:sz w:val="22"/>
        </w:rPr>
        <w:t>法定代表人或授权代表签字：</w:t>
      </w:r>
    </w:p>
    <w:p w14:paraId="0D20AE24">
      <w:pPr>
        <w:widowControl/>
        <w:shd w:val="clear" w:color="auto" w:fill="FFFFFF"/>
        <w:wordWrap w:val="0"/>
        <w:spacing w:line="360" w:lineRule="auto"/>
        <w:ind w:firstLine="360"/>
        <w:jc w:val="left"/>
        <w:rPr>
          <w:rFonts w:hint="eastAsia" w:ascii="仿宋" w:hAnsi="仿宋" w:eastAsia="仿宋" w:cs="仿宋"/>
          <w:kern w:val="0"/>
          <w:sz w:val="18"/>
          <w:szCs w:val="18"/>
        </w:rPr>
      </w:pPr>
      <w:r>
        <w:rPr>
          <w:rFonts w:hint="eastAsia" w:ascii="仿宋" w:hAnsi="仿宋" w:eastAsia="仿宋" w:cs="仿宋"/>
          <w:kern w:val="0"/>
          <w:sz w:val="22"/>
        </w:rPr>
        <w:t>日期:</w:t>
      </w:r>
    </w:p>
    <w:p w14:paraId="39C55719">
      <w:pPr>
        <w:spacing w:line="360" w:lineRule="auto"/>
        <w:rPr>
          <w:rFonts w:hint="eastAsia" w:ascii="仿宋" w:hAnsi="仿宋" w:eastAsia="仿宋" w:cs="仿宋"/>
          <w:b/>
          <w:bCs/>
          <w:kern w:val="0"/>
          <w:sz w:val="28"/>
          <w:szCs w:val="32"/>
          <w:shd w:val="clear" w:color="auto" w:fill="FFFFFF"/>
        </w:rPr>
      </w:pPr>
      <w:r>
        <w:rPr>
          <w:rFonts w:hint="eastAsia" w:ascii="仿宋" w:hAnsi="仿宋" w:eastAsia="仿宋" w:cs="仿宋"/>
          <w:b/>
          <w:bCs/>
          <w:kern w:val="0"/>
          <w:sz w:val="28"/>
          <w:szCs w:val="32"/>
          <w:shd w:val="clear" w:color="auto" w:fill="FFFFFF"/>
        </w:rPr>
        <w:br w:type="page"/>
      </w:r>
    </w:p>
    <w:p w14:paraId="62AB2083">
      <w:pPr>
        <w:widowControl/>
        <w:adjustRightInd w:val="0"/>
        <w:snapToGrid w:val="0"/>
        <w:spacing w:line="580" w:lineRule="exact"/>
        <w:jc w:val="left"/>
        <w:outlineLvl w:val="1"/>
        <w:rPr>
          <w:rFonts w:hint="eastAsia" w:ascii="仿宋" w:hAnsi="仿宋" w:eastAsia="仿宋" w:cs="仿宋"/>
          <w:sz w:val="28"/>
          <w:szCs w:val="32"/>
        </w:rPr>
      </w:pPr>
      <w:r>
        <w:rPr>
          <w:rFonts w:hint="eastAsia" w:ascii="仿宋" w:hAnsi="仿宋" w:eastAsia="仿宋" w:cs="仿宋"/>
          <w:sz w:val="28"/>
          <w:szCs w:val="32"/>
        </w:rPr>
        <w:t>附件5-4：用户情况表</w:t>
      </w:r>
    </w:p>
    <w:p w14:paraId="5A0B37E6">
      <w:pPr>
        <w:widowControl/>
        <w:spacing w:after="312" w:afterLines="100" w:line="660" w:lineRule="exact"/>
        <w:jc w:val="center"/>
        <w:rPr>
          <w:rFonts w:hint="eastAsia" w:ascii="方正小标宋简体" w:hAnsi="仿宋" w:eastAsia="方正小标宋简体" w:cs="仿宋"/>
          <w:kern w:val="0"/>
          <w:sz w:val="44"/>
          <w:szCs w:val="44"/>
        </w:rPr>
      </w:pPr>
      <w:r>
        <w:rPr>
          <w:rFonts w:hint="eastAsia" w:ascii="方正小标宋简体" w:hAnsi="仿宋" w:eastAsia="方正小标宋简体" w:cs="仿宋"/>
          <w:kern w:val="0"/>
          <w:sz w:val="44"/>
          <w:szCs w:val="44"/>
        </w:rPr>
        <w:t>用户情况表</w:t>
      </w:r>
    </w:p>
    <w:tbl>
      <w:tblPr>
        <w:tblStyle w:val="14"/>
        <w:tblW w:w="8220" w:type="dxa"/>
        <w:jc w:val="center"/>
        <w:tblLayout w:type="autofit"/>
        <w:tblCellMar>
          <w:top w:w="0" w:type="dxa"/>
          <w:left w:w="0" w:type="dxa"/>
          <w:bottom w:w="0" w:type="dxa"/>
          <w:right w:w="0" w:type="dxa"/>
        </w:tblCellMar>
      </w:tblPr>
      <w:tblGrid>
        <w:gridCol w:w="723"/>
        <w:gridCol w:w="1500"/>
        <w:gridCol w:w="1497"/>
        <w:gridCol w:w="1260"/>
        <w:gridCol w:w="2160"/>
        <w:gridCol w:w="1080"/>
      </w:tblGrid>
      <w:tr w14:paraId="7135E593">
        <w:tblPrEx>
          <w:tblCellMar>
            <w:top w:w="0" w:type="dxa"/>
            <w:left w:w="0" w:type="dxa"/>
            <w:bottom w:w="0" w:type="dxa"/>
            <w:right w:w="0" w:type="dxa"/>
          </w:tblCellMar>
        </w:tblPrEx>
        <w:trPr>
          <w:trHeight w:val="420" w:hRule="atLeast"/>
          <w:jc w:val="center"/>
        </w:trPr>
        <w:tc>
          <w:tcPr>
            <w:tcW w:w="723" w:type="dxa"/>
            <w:tcBorders>
              <w:top w:val="single" w:color="auto" w:sz="8" w:space="0"/>
              <w:left w:val="single" w:color="auto" w:sz="4" w:space="0"/>
              <w:bottom w:val="single" w:color="auto" w:sz="8" w:space="0"/>
              <w:right w:val="single" w:color="auto" w:sz="8" w:space="0"/>
            </w:tcBorders>
            <w:tcMar>
              <w:top w:w="0" w:type="dxa"/>
              <w:left w:w="108" w:type="dxa"/>
              <w:bottom w:w="0" w:type="dxa"/>
              <w:right w:w="108" w:type="dxa"/>
            </w:tcMar>
            <w:vAlign w:val="center"/>
          </w:tcPr>
          <w:p w14:paraId="7B6C6B7C">
            <w:pPr>
              <w:widowControl/>
              <w:wordWrap w:val="0"/>
              <w:spacing w:line="520" w:lineRule="atLeast"/>
              <w:jc w:val="center"/>
              <w:rPr>
                <w:rFonts w:hint="eastAsia" w:ascii="仿宋" w:hAnsi="仿宋" w:eastAsia="仿宋" w:cs="仿宋"/>
                <w:kern w:val="0"/>
                <w:sz w:val="24"/>
              </w:rPr>
            </w:pPr>
            <w:r>
              <w:rPr>
                <w:rFonts w:hint="eastAsia" w:ascii="仿宋" w:hAnsi="仿宋" w:eastAsia="仿宋" w:cs="仿宋"/>
                <w:kern w:val="0"/>
                <w:sz w:val="24"/>
              </w:rPr>
              <w:t>序号</w:t>
            </w:r>
          </w:p>
        </w:tc>
        <w:tc>
          <w:tcPr>
            <w:tcW w:w="1500" w:type="dxa"/>
            <w:tcBorders>
              <w:top w:val="single" w:color="auto" w:sz="8" w:space="0"/>
              <w:left w:val="nil"/>
              <w:bottom w:val="single" w:color="auto" w:sz="8" w:space="0"/>
              <w:right w:val="single" w:color="auto" w:sz="4" w:space="0"/>
            </w:tcBorders>
            <w:tcMar>
              <w:top w:w="0" w:type="dxa"/>
              <w:left w:w="108" w:type="dxa"/>
              <w:bottom w:w="0" w:type="dxa"/>
              <w:right w:w="108" w:type="dxa"/>
            </w:tcMar>
            <w:vAlign w:val="center"/>
          </w:tcPr>
          <w:p w14:paraId="09647AB2">
            <w:pPr>
              <w:widowControl/>
              <w:wordWrap w:val="0"/>
              <w:spacing w:line="520" w:lineRule="atLeast"/>
              <w:jc w:val="center"/>
              <w:rPr>
                <w:rFonts w:hint="eastAsia" w:ascii="仿宋" w:hAnsi="仿宋" w:eastAsia="仿宋" w:cs="仿宋"/>
                <w:kern w:val="0"/>
                <w:sz w:val="18"/>
                <w:szCs w:val="18"/>
              </w:rPr>
            </w:pPr>
            <w:r>
              <w:rPr>
                <w:rFonts w:hint="eastAsia" w:ascii="仿宋" w:hAnsi="仿宋" w:eastAsia="仿宋" w:cs="仿宋"/>
                <w:kern w:val="0"/>
                <w:sz w:val="24"/>
              </w:rPr>
              <w:t>用户名称</w:t>
            </w:r>
          </w:p>
        </w:tc>
        <w:tc>
          <w:tcPr>
            <w:tcW w:w="1497" w:type="dxa"/>
            <w:tcBorders>
              <w:top w:val="single" w:color="auto" w:sz="8" w:space="0"/>
              <w:left w:val="single" w:color="auto" w:sz="4" w:space="0"/>
              <w:bottom w:val="single" w:color="auto" w:sz="8" w:space="0"/>
              <w:right w:val="single" w:color="auto" w:sz="8" w:space="0"/>
            </w:tcBorders>
            <w:tcMar>
              <w:top w:w="0" w:type="dxa"/>
              <w:left w:w="108" w:type="dxa"/>
              <w:bottom w:w="0" w:type="dxa"/>
              <w:right w:w="108" w:type="dxa"/>
            </w:tcMar>
            <w:vAlign w:val="center"/>
          </w:tcPr>
          <w:p w14:paraId="6EC3C1DF">
            <w:pPr>
              <w:widowControl/>
              <w:wordWrap w:val="0"/>
              <w:spacing w:line="520" w:lineRule="atLeast"/>
              <w:jc w:val="center"/>
              <w:rPr>
                <w:rFonts w:hint="eastAsia" w:ascii="仿宋" w:hAnsi="仿宋" w:eastAsia="仿宋" w:cs="仿宋"/>
                <w:kern w:val="0"/>
                <w:sz w:val="24"/>
              </w:rPr>
            </w:pPr>
            <w:r>
              <w:rPr>
                <w:rFonts w:hint="eastAsia" w:ascii="仿宋" w:hAnsi="仿宋" w:eastAsia="仿宋" w:cs="仿宋"/>
                <w:kern w:val="0"/>
                <w:sz w:val="24"/>
              </w:rPr>
              <w:t>项目名称</w:t>
            </w:r>
          </w:p>
        </w:tc>
        <w:tc>
          <w:tcPr>
            <w:tcW w:w="126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66F18597">
            <w:pPr>
              <w:widowControl/>
              <w:wordWrap w:val="0"/>
              <w:spacing w:line="520" w:lineRule="atLeast"/>
              <w:jc w:val="center"/>
              <w:rPr>
                <w:rFonts w:hint="eastAsia" w:ascii="仿宋" w:hAnsi="仿宋" w:eastAsia="仿宋" w:cs="仿宋"/>
                <w:kern w:val="0"/>
                <w:sz w:val="18"/>
                <w:szCs w:val="18"/>
              </w:rPr>
            </w:pPr>
            <w:r>
              <w:rPr>
                <w:rFonts w:hint="eastAsia" w:ascii="仿宋" w:hAnsi="仿宋" w:eastAsia="仿宋" w:cs="仿宋"/>
                <w:kern w:val="0"/>
                <w:sz w:val="24"/>
              </w:rPr>
              <w:t>合同时间</w:t>
            </w:r>
          </w:p>
        </w:tc>
        <w:tc>
          <w:tcPr>
            <w:tcW w:w="216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5A9EDC2D">
            <w:pPr>
              <w:widowControl/>
              <w:wordWrap w:val="0"/>
              <w:spacing w:line="520" w:lineRule="atLeast"/>
              <w:jc w:val="center"/>
              <w:rPr>
                <w:rFonts w:hint="eastAsia" w:ascii="仿宋" w:hAnsi="仿宋" w:eastAsia="仿宋" w:cs="仿宋"/>
                <w:kern w:val="0"/>
                <w:sz w:val="18"/>
                <w:szCs w:val="18"/>
              </w:rPr>
            </w:pPr>
            <w:r>
              <w:rPr>
                <w:rFonts w:hint="eastAsia" w:ascii="仿宋" w:hAnsi="仿宋" w:eastAsia="仿宋" w:cs="仿宋"/>
                <w:kern w:val="0"/>
                <w:sz w:val="24"/>
              </w:rPr>
              <w:t>联系人及联系方式</w:t>
            </w:r>
          </w:p>
        </w:tc>
        <w:tc>
          <w:tcPr>
            <w:tcW w:w="108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1B71A0E3">
            <w:pPr>
              <w:widowControl/>
              <w:wordWrap w:val="0"/>
              <w:spacing w:line="520" w:lineRule="atLeast"/>
              <w:jc w:val="center"/>
              <w:rPr>
                <w:rFonts w:hint="eastAsia" w:ascii="仿宋" w:hAnsi="仿宋" w:eastAsia="仿宋" w:cs="仿宋"/>
                <w:kern w:val="0"/>
                <w:sz w:val="18"/>
                <w:szCs w:val="18"/>
              </w:rPr>
            </w:pPr>
            <w:r>
              <w:rPr>
                <w:rFonts w:hint="eastAsia" w:ascii="仿宋" w:hAnsi="仿宋" w:eastAsia="仿宋" w:cs="仿宋"/>
                <w:kern w:val="0"/>
                <w:sz w:val="24"/>
              </w:rPr>
              <w:t>备注</w:t>
            </w:r>
          </w:p>
        </w:tc>
      </w:tr>
      <w:tr w14:paraId="2FA3332E">
        <w:tblPrEx>
          <w:tblCellMar>
            <w:top w:w="0" w:type="dxa"/>
            <w:left w:w="0" w:type="dxa"/>
            <w:bottom w:w="0" w:type="dxa"/>
            <w:right w:w="0" w:type="dxa"/>
          </w:tblCellMar>
        </w:tblPrEx>
        <w:trPr>
          <w:trHeight w:val="300" w:hRule="atLeast"/>
          <w:jc w:val="center"/>
        </w:trPr>
        <w:tc>
          <w:tcPr>
            <w:tcW w:w="723" w:type="dxa"/>
            <w:tcBorders>
              <w:top w:val="nil"/>
              <w:left w:val="single" w:color="auto" w:sz="4" w:space="0"/>
              <w:bottom w:val="single" w:color="auto" w:sz="8" w:space="0"/>
              <w:right w:val="single" w:color="auto" w:sz="8" w:space="0"/>
            </w:tcBorders>
            <w:tcMar>
              <w:top w:w="0" w:type="dxa"/>
              <w:left w:w="108" w:type="dxa"/>
              <w:bottom w:w="0" w:type="dxa"/>
              <w:right w:w="108" w:type="dxa"/>
            </w:tcMar>
            <w:vAlign w:val="center"/>
          </w:tcPr>
          <w:p w14:paraId="3BB532B0">
            <w:pPr>
              <w:widowControl/>
              <w:wordWrap w:val="0"/>
              <w:spacing w:line="520" w:lineRule="atLeast"/>
              <w:jc w:val="center"/>
              <w:rPr>
                <w:rFonts w:hint="eastAsia" w:ascii="仿宋" w:hAnsi="仿宋" w:eastAsia="仿宋" w:cs="仿宋"/>
                <w:kern w:val="0"/>
                <w:sz w:val="24"/>
              </w:rPr>
            </w:pPr>
          </w:p>
        </w:tc>
        <w:tc>
          <w:tcPr>
            <w:tcW w:w="1500" w:type="dxa"/>
            <w:tcBorders>
              <w:top w:val="nil"/>
              <w:left w:val="nil"/>
              <w:bottom w:val="single" w:color="auto" w:sz="8" w:space="0"/>
              <w:right w:val="single" w:color="auto" w:sz="4" w:space="0"/>
            </w:tcBorders>
            <w:tcMar>
              <w:top w:w="0" w:type="dxa"/>
              <w:left w:w="108" w:type="dxa"/>
              <w:bottom w:w="0" w:type="dxa"/>
              <w:right w:w="108" w:type="dxa"/>
            </w:tcMar>
            <w:vAlign w:val="center"/>
          </w:tcPr>
          <w:p w14:paraId="31664E33">
            <w:pPr>
              <w:widowControl/>
              <w:wordWrap w:val="0"/>
              <w:spacing w:line="520" w:lineRule="atLeast"/>
              <w:jc w:val="center"/>
              <w:rPr>
                <w:rFonts w:hint="eastAsia" w:ascii="仿宋" w:hAnsi="仿宋" w:eastAsia="仿宋" w:cs="仿宋"/>
                <w:kern w:val="0"/>
                <w:sz w:val="18"/>
                <w:szCs w:val="18"/>
              </w:rPr>
            </w:pPr>
          </w:p>
        </w:tc>
        <w:tc>
          <w:tcPr>
            <w:tcW w:w="1497" w:type="dxa"/>
            <w:tcBorders>
              <w:top w:val="nil"/>
              <w:left w:val="single" w:color="auto" w:sz="4" w:space="0"/>
              <w:bottom w:val="single" w:color="auto" w:sz="8" w:space="0"/>
              <w:right w:val="single" w:color="auto" w:sz="8" w:space="0"/>
            </w:tcBorders>
            <w:tcMar>
              <w:top w:w="0" w:type="dxa"/>
              <w:left w:w="108" w:type="dxa"/>
              <w:bottom w:w="0" w:type="dxa"/>
              <w:right w:w="108" w:type="dxa"/>
            </w:tcMar>
            <w:vAlign w:val="center"/>
          </w:tcPr>
          <w:p w14:paraId="3CD2C036">
            <w:pPr>
              <w:widowControl/>
              <w:wordWrap w:val="0"/>
              <w:spacing w:line="520" w:lineRule="atLeast"/>
              <w:jc w:val="center"/>
              <w:rPr>
                <w:rFonts w:hint="eastAsia" w:ascii="仿宋" w:hAnsi="仿宋" w:eastAsia="仿宋" w:cs="仿宋"/>
                <w:kern w:val="0"/>
                <w:sz w:val="24"/>
              </w:rPr>
            </w:pPr>
          </w:p>
        </w:tc>
        <w:tc>
          <w:tcPr>
            <w:tcW w:w="1260" w:type="dxa"/>
            <w:tcBorders>
              <w:top w:val="nil"/>
              <w:left w:val="nil"/>
              <w:bottom w:val="single" w:color="auto" w:sz="8" w:space="0"/>
              <w:right w:val="single" w:color="auto" w:sz="8" w:space="0"/>
            </w:tcBorders>
            <w:tcMar>
              <w:top w:w="0" w:type="dxa"/>
              <w:left w:w="108" w:type="dxa"/>
              <w:bottom w:w="0" w:type="dxa"/>
              <w:right w:w="108" w:type="dxa"/>
            </w:tcMar>
            <w:vAlign w:val="center"/>
          </w:tcPr>
          <w:p w14:paraId="7C24AE9B">
            <w:pPr>
              <w:widowControl/>
              <w:wordWrap w:val="0"/>
              <w:spacing w:line="520" w:lineRule="atLeast"/>
              <w:jc w:val="center"/>
              <w:rPr>
                <w:rFonts w:hint="eastAsia" w:ascii="仿宋" w:hAnsi="仿宋" w:eastAsia="仿宋" w:cs="仿宋"/>
                <w:kern w:val="0"/>
                <w:sz w:val="18"/>
                <w:szCs w:val="18"/>
              </w:rPr>
            </w:pPr>
          </w:p>
        </w:tc>
        <w:tc>
          <w:tcPr>
            <w:tcW w:w="2160" w:type="dxa"/>
            <w:tcBorders>
              <w:top w:val="nil"/>
              <w:left w:val="nil"/>
              <w:bottom w:val="single" w:color="auto" w:sz="8" w:space="0"/>
              <w:right w:val="single" w:color="auto" w:sz="8" w:space="0"/>
            </w:tcBorders>
            <w:tcMar>
              <w:top w:w="0" w:type="dxa"/>
              <w:left w:w="108" w:type="dxa"/>
              <w:bottom w:w="0" w:type="dxa"/>
              <w:right w:w="108" w:type="dxa"/>
            </w:tcMar>
            <w:vAlign w:val="center"/>
          </w:tcPr>
          <w:p w14:paraId="264B6C18">
            <w:pPr>
              <w:widowControl/>
              <w:wordWrap w:val="0"/>
              <w:spacing w:line="520" w:lineRule="atLeast"/>
              <w:jc w:val="center"/>
              <w:rPr>
                <w:rFonts w:hint="eastAsia" w:ascii="仿宋" w:hAnsi="仿宋" w:eastAsia="仿宋" w:cs="仿宋"/>
                <w:kern w:val="0"/>
                <w:sz w:val="18"/>
                <w:szCs w:val="18"/>
              </w:rPr>
            </w:pPr>
          </w:p>
        </w:tc>
        <w:tc>
          <w:tcPr>
            <w:tcW w:w="1080" w:type="dxa"/>
            <w:tcBorders>
              <w:top w:val="nil"/>
              <w:left w:val="nil"/>
              <w:bottom w:val="single" w:color="auto" w:sz="8" w:space="0"/>
              <w:right w:val="single" w:color="auto" w:sz="8" w:space="0"/>
            </w:tcBorders>
            <w:tcMar>
              <w:top w:w="0" w:type="dxa"/>
              <w:left w:w="108" w:type="dxa"/>
              <w:bottom w:w="0" w:type="dxa"/>
              <w:right w:w="108" w:type="dxa"/>
            </w:tcMar>
            <w:vAlign w:val="center"/>
          </w:tcPr>
          <w:p w14:paraId="367E8AE5">
            <w:pPr>
              <w:widowControl/>
              <w:wordWrap w:val="0"/>
              <w:spacing w:line="520" w:lineRule="atLeast"/>
              <w:jc w:val="center"/>
              <w:rPr>
                <w:rFonts w:hint="eastAsia" w:ascii="仿宋" w:hAnsi="仿宋" w:eastAsia="仿宋" w:cs="仿宋"/>
                <w:kern w:val="0"/>
                <w:sz w:val="18"/>
                <w:szCs w:val="18"/>
              </w:rPr>
            </w:pPr>
          </w:p>
        </w:tc>
      </w:tr>
      <w:tr w14:paraId="4AFAEC97">
        <w:tblPrEx>
          <w:tblCellMar>
            <w:top w:w="0" w:type="dxa"/>
            <w:left w:w="0" w:type="dxa"/>
            <w:bottom w:w="0" w:type="dxa"/>
            <w:right w:w="0" w:type="dxa"/>
          </w:tblCellMar>
        </w:tblPrEx>
        <w:trPr>
          <w:trHeight w:val="300" w:hRule="atLeast"/>
          <w:jc w:val="center"/>
        </w:trPr>
        <w:tc>
          <w:tcPr>
            <w:tcW w:w="723" w:type="dxa"/>
            <w:tcBorders>
              <w:top w:val="nil"/>
              <w:left w:val="single" w:color="auto" w:sz="4" w:space="0"/>
              <w:bottom w:val="single" w:color="auto" w:sz="8" w:space="0"/>
              <w:right w:val="single" w:color="auto" w:sz="8" w:space="0"/>
            </w:tcBorders>
            <w:tcMar>
              <w:top w:w="0" w:type="dxa"/>
              <w:left w:w="108" w:type="dxa"/>
              <w:bottom w:w="0" w:type="dxa"/>
              <w:right w:w="108" w:type="dxa"/>
            </w:tcMar>
            <w:vAlign w:val="center"/>
          </w:tcPr>
          <w:p w14:paraId="22EF4A33">
            <w:pPr>
              <w:widowControl/>
              <w:wordWrap w:val="0"/>
              <w:spacing w:line="520" w:lineRule="atLeast"/>
              <w:jc w:val="center"/>
              <w:rPr>
                <w:rFonts w:hint="eastAsia" w:ascii="仿宋" w:hAnsi="仿宋" w:eastAsia="仿宋" w:cs="仿宋"/>
                <w:kern w:val="0"/>
                <w:sz w:val="24"/>
              </w:rPr>
            </w:pPr>
          </w:p>
        </w:tc>
        <w:tc>
          <w:tcPr>
            <w:tcW w:w="1500" w:type="dxa"/>
            <w:tcBorders>
              <w:top w:val="nil"/>
              <w:left w:val="nil"/>
              <w:bottom w:val="single" w:color="auto" w:sz="8" w:space="0"/>
              <w:right w:val="single" w:color="auto" w:sz="4" w:space="0"/>
            </w:tcBorders>
            <w:tcMar>
              <w:top w:w="0" w:type="dxa"/>
              <w:left w:w="108" w:type="dxa"/>
              <w:bottom w:w="0" w:type="dxa"/>
              <w:right w:w="108" w:type="dxa"/>
            </w:tcMar>
            <w:vAlign w:val="center"/>
          </w:tcPr>
          <w:p w14:paraId="50FE3BE0">
            <w:pPr>
              <w:widowControl/>
              <w:wordWrap w:val="0"/>
              <w:spacing w:line="520" w:lineRule="atLeast"/>
              <w:jc w:val="center"/>
              <w:rPr>
                <w:rFonts w:hint="eastAsia" w:ascii="仿宋" w:hAnsi="仿宋" w:eastAsia="仿宋" w:cs="仿宋"/>
                <w:kern w:val="0"/>
                <w:sz w:val="18"/>
                <w:szCs w:val="18"/>
              </w:rPr>
            </w:pPr>
          </w:p>
        </w:tc>
        <w:tc>
          <w:tcPr>
            <w:tcW w:w="1497" w:type="dxa"/>
            <w:tcBorders>
              <w:top w:val="nil"/>
              <w:left w:val="single" w:color="auto" w:sz="4" w:space="0"/>
              <w:bottom w:val="single" w:color="auto" w:sz="8" w:space="0"/>
              <w:right w:val="single" w:color="auto" w:sz="8" w:space="0"/>
            </w:tcBorders>
            <w:tcMar>
              <w:top w:w="0" w:type="dxa"/>
              <w:left w:w="108" w:type="dxa"/>
              <w:bottom w:w="0" w:type="dxa"/>
              <w:right w:w="108" w:type="dxa"/>
            </w:tcMar>
            <w:vAlign w:val="center"/>
          </w:tcPr>
          <w:p w14:paraId="444BE6CD">
            <w:pPr>
              <w:widowControl/>
              <w:wordWrap w:val="0"/>
              <w:spacing w:line="520" w:lineRule="atLeast"/>
              <w:jc w:val="center"/>
              <w:rPr>
                <w:rFonts w:hint="eastAsia" w:ascii="仿宋" w:hAnsi="仿宋" w:eastAsia="仿宋" w:cs="仿宋"/>
                <w:kern w:val="0"/>
                <w:sz w:val="24"/>
              </w:rPr>
            </w:pPr>
          </w:p>
        </w:tc>
        <w:tc>
          <w:tcPr>
            <w:tcW w:w="1260" w:type="dxa"/>
            <w:tcBorders>
              <w:top w:val="nil"/>
              <w:left w:val="nil"/>
              <w:bottom w:val="single" w:color="auto" w:sz="8" w:space="0"/>
              <w:right w:val="single" w:color="auto" w:sz="8" w:space="0"/>
            </w:tcBorders>
            <w:tcMar>
              <w:top w:w="0" w:type="dxa"/>
              <w:left w:w="108" w:type="dxa"/>
              <w:bottom w:w="0" w:type="dxa"/>
              <w:right w:w="108" w:type="dxa"/>
            </w:tcMar>
            <w:vAlign w:val="center"/>
          </w:tcPr>
          <w:p w14:paraId="2EE22BED">
            <w:pPr>
              <w:widowControl/>
              <w:wordWrap w:val="0"/>
              <w:spacing w:line="520" w:lineRule="atLeast"/>
              <w:jc w:val="center"/>
              <w:rPr>
                <w:rFonts w:hint="eastAsia" w:ascii="仿宋" w:hAnsi="仿宋" w:eastAsia="仿宋" w:cs="仿宋"/>
                <w:kern w:val="0"/>
                <w:sz w:val="18"/>
                <w:szCs w:val="18"/>
              </w:rPr>
            </w:pPr>
          </w:p>
        </w:tc>
        <w:tc>
          <w:tcPr>
            <w:tcW w:w="2160" w:type="dxa"/>
            <w:tcBorders>
              <w:top w:val="nil"/>
              <w:left w:val="nil"/>
              <w:bottom w:val="single" w:color="auto" w:sz="8" w:space="0"/>
              <w:right w:val="single" w:color="auto" w:sz="8" w:space="0"/>
            </w:tcBorders>
            <w:tcMar>
              <w:top w:w="0" w:type="dxa"/>
              <w:left w:w="108" w:type="dxa"/>
              <w:bottom w:w="0" w:type="dxa"/>
              <w:right w:w="108" w:type="dxa"/>
            </w:tcMar>
            <w:vAlign w:val="center"/>
          </w:tcPr>
          <w:p w14:paraId="35BBFAB1">
            <w:pPr>
              <w:widowControl/>
              <w:wordWrap w:val="0"/>
              <w:spacing w:line="520" w:lineRule="atLeast"/>
              <w:jc w:val="center"/>
              <w:rPr>
                <w:rFonts w:hint="eastAsia" w:ascii="仿宋" w:hAnsi="仿宋" w:eastAsia="仿宋" w:cs="仿宋"/>
                <w:kern w:val="0"/>
                <w:sz w:val="18"/>
                <w:szCs w:val="18"/>
              </w:rPr>
            </w:pPr>
          </w:p>
        </w:tc>
        <w:tc>
          <w:tcPr>
            <w:tcW w:w="1080" w:type="dxa"/>
            <w:tcBorders>
              <w:top w:val="nil"/>
              <w:left w:val="nil"/>
              <w:bottom w:val="single" w:color="auto" w:sz="8" w:space="0"/>
              <w:right w:val="single" w:color="auto" w:sz="8" w:space="0"/>
            </w:tcBorders>
            <w:tcMar>
              <w:top w:w="0" w:type="dxa"/>
              <w:left w:w="108" w:type="dxa"/>
              <w:bottom w:w="0" w:type="dxa"/>
              <w:right w:w="108" w:type="dxa"/>
            </w:tcMar>
            <w:vAlign w:val="center"/>
          </w:tcPr>
          <w:p w14:paraId="078D18BE">
            <w:pPr>
              <w:widowControl/>
              <w:wordWrap w:val="0"/>
              <w:spacing w:line="520" w:lineRule="atLeast"/>
              <w:jc w:val="center"/>
              <w:rPr>
                <w:rFonts w:hint="eastAsia" w:ascii="仿宋" w:hAnsi="仿宋" w:eastAsia="仿宋" w:cs="仿宋"/>
                <w:kern w:val="0"/>
                <w:sz w:val="18"/>
                <w:szCs w:val="18"/>
              </w:rPr>
            </w:pPr>
          </w:p>
        </w:tc>
      </w:tr>
      <w:tr w14:paraId="57A55F9A">
        <w:tblPrEx>
          <w:tblCellMar>
            <w:top w:w="0" w:type="dxa"/>
            <w:left w:w="0" w:type="dxa"/>
            <w:bottom w:w="0" w:type="dxa"/>
            <w:right w:w="0" w:type="dxa"/>
          </w:tblCellMar>
        </w:tblPrEx>
        <w:trPr>
          <w:trHeight w:val="105" w:hRule="atLeast"/>
          <w:jc w:val="center"/>
        </w:trPr>
        <w:tc>
          <w:tcPr>
            <w:tcW w:w="723" w:type="dxa"/>
            <w:tcBorders>
              <w:top w:val="nil"/>
              <w:left w:val="single" w:color="auto" w:sz="4" w:space="0"/>
              <w:bottom w:val="single" w:color="auto" w:sz="8" w:space="0"/>
              <w:right w:val="single" w:color="auto" w:sz="8" w:space="0"/>
            </w:tcBorders>
            <w:tcMar>
              <w:top w:w="0" w:type="dxa"/>
              <w:left w:w="108" w:type="dxa"/>
              <w:bottom w:w="0" w:type="dxa"/>
              <w:right w:w="108" w:type="dxa"/>
            </w:tcMar>
            <w:vAlign w:val="center"/>
          </w:tcPr>
          <w:p w14:paraId="17534635">
            <w:pPr>
              <w:widowControl/>
              <w:wordWrap w:val="0"/>
              <w:spacing w:line="520" w:lineRule="atLeast"/>
              <w:jc w:val="center"/>
              <w:rPr>
                <w:rFonts w:hint="eastAsia" w:ascii="仿宋" w:hAnsi="仿宋" w:eastAsia="仿宋" w:cs="仿宋"/>
                <w:kern w:val="0"/>
                <w:sz w:val="24"/>
              </w:rPr>
            </w:pPr>
          </w:p>
        </w:tc>
        <w:tc>
          <w:tcPr>
            <w:tcW w:w="1500" w:type="dxa"/>
            <w:tcBorders>
              <w:top w:val="nil"/>
              <w:left w:val="nil"/>
              <w:bottom w:val="single" w:color="auto" w:sz="8" w:space="0"/>
              <w:right w:val="single" w:color="auto" w:sz="4" w:space="0"/>
            </w:tcBorders>
            <w:tcMar>
              <w:top w:w="0" w:type="dxa"/>
              <w:left w:w="108" w:type="dxa"/>
              <w:bottom w:w="0" w:type="dxa"/>
              <w:right w:w="108" w:type="dxa"/>
            </w:tcMar>
            <w:vAlign w:val="center"/>
          </w:tcPr>
          <w:p w14:paraId="70B92190">
            <w:pPr>
              <w:widowControl/>
              <w:wordWrap w:val="0"/>
              <w:spacing w:line="520" w:lineRule="atLeast"/>
              <w:jc w:val="center"/>
              <w:rPr>
                <w:rFonts w:hint="eastAsia" w:ascii="仿宋" w:hAnsi="仿宋" w:eastAsia="仿宋" w:cs="仿宋"/>
                <w:kern w:val="0"/>
                <w:sz w:val="18"/>
                <w:szCs w:val="18"/>
              </w:rPr>
            </w:pPr>
          </w:p>
        </w:tc>
        <w:tc>
          <w:tcPr>
            <w:tcW w:w="1497" w:type="dxa"/>
            <w:tcBorders>
              <w:top w:val="nil"/>
              <w:left w:val="single" w:color="auto" w:sz="4" w:space="0"/>
              <w:bottom w:val="single" w:color="auto" w:sz="8" w:space="0"/>
              <w:right w:val="single" w:color="auto" w:sz="8" w:space="0"/>
            </w:tcBorders>
            <w:tcMar>
              <w:top w:w="0" w:type="dxa"/>
              <w:left w:w="108" w:type="dxa"/>
              <w:bottom w:w="0" w:type="dxa"/>
              <w:right w:w="108" w:type="dxa"/>
            </w:tcMar>
            <w:vAlign w:val="center"/>
          </w:tcPr>
          <w:p w14:paraId="09498801">
            <w:pPr>
              <w:widowControl/>
              <w:wordWrap w:val="0"/>
              <w:spacing w:line="520" w:lineRule="atLeast"/>
              <w:jc w:val="center"/>
              <w:rPr>
                <w:rFonts w:hint="eastAsia" w:ascii="仿宋" w:hAnsi="仿宋" w:eastAsia="仿宋" w:cs="仿宋"/>
                <w:kern w:val="0"/>
                <w:sz w:val="24"/>
              </w:rPr>
            </w:pPr>
          </w:p>
        </w:tc>
        <w:tc>
          <w:tcPr>
            <w:tcW w:w="1260" w:type="dxa"/>
            <w:tcBorders>
              <w:top w:val="nil"/>
              <w:left w:val="nil"/>
              <w:bottom w:val="single" w:color="auto" w:sz="8" w:space="0"/>
              <w:right w:val="single" w:color="auto" w:sz="8" w:space="0"/>
            </w:tcBorders>
            <w:tcMar>
              <w:top w:w="0" w:type="dxa"/>
              <w:left w:w="108" w:type="dxa"/>
              <w:bottom w:w="0" w:type="dxa"/>
              <w:right w:w="108" w:type="dxa"/>
            </w:tcMar>
            <w:vAlign w:val="center"/>
          </w:tcPr>
          <w:p w14:paraId="64F3370C">
            <w:pPr>
              <w:widowControl/>
              <w:wordWrap w:val="0"/>
              <w:spacing w:line="520" w:lineRule="atLeast"/>
              <w:jc w:val="center"/>
              <w:rPr>
                <w:rFonts w:hint="eastAsia" w:ascii="仿宋" w:hAnsi="仿宋" w:eastAsia="仿宋" w:cs="仿宋"/>
                <w:kern w:val="0"/>
                <w:sz w:val="18"/>
                <w:szCs w:val="18"/>
              </w:rPr>
            </w:pPr>
          </w:p>
        </w:tc>
        <w:tc>
          <w:tcPr>
            <w:tcW w:w="2160" w:type="dxa"/>
            <w:tcBorders>
              <w:top w:val="nil"/>
              <w:left w:val="nil"/>
              <w:bottom w:val="single" w:color="auto" w:sz="8" w:space="0"/>
              <w:right w:val="single" w:color="auto" w:sz="8" w:space="0"/>
            </w:tcBorders>
            <w:tcMar>
              <w:top w:w="0" w:type="dxa"/>
              <w:left w:w="108" w:type="dxa"/>
              <w:bottom w:w="0" w:type="dxa"/>
              <w:right w:w="108" w:type="dxa"/>
            </w:tcMar>
            <w:vAlign w:val="center"/>
          </w:tcPr>
          <w:p w14:paraId="6193B966">
            <w:pPr>
              <w:widowControl/>
              <w:wordWrap w:val="0"/>
              <w:spacing w:line="520" w:lineRule="atLeast"/>
              <w:jc w:val="center"/>
              <w:rPr>
                <w:rFonts w:hint="eastAsia" w:ascii="仿宋" w:hAnsi="仿宋" w:eastAsia="仿宋" w:cs="仿宋"/>
                <w:kern w:val="0"/>
                <w:sz w:val="18"/>
                <w:szCs w:val="18"/>
              </w:rPr>
            </w:pPr>
          </w:p>
        </w:tc>
        <w:tc>
          <w:tcPr>
            <w:tcW w:w="1080" w:type="dxa"/>
            <w:tcBorders>
              <w:top w:val="nil"/>
              <w:left w:val="nil"/>
              <w:bottom w:val="single" w:color="auto" w:sz="8" w:space="0"/>
              <w:right w:val="single" w:color="auto" w:sz="8" w:space="0"/>
            </w:tcBorders>
            <w:tcMar>
              <w:top w:w="0" w:type="dxa"/>
              <w:left w:w="108" w:type="dxa"/>
              <w:bottom w:w="0" w:type="dxa"/>
              <w:right w:w="108" w:type="dxa"/>
            </w:tcMar>
            <w:vAlign w:val="center"/>
          </w:tcPr>
          <w:p w14:paraId="7B3C696C">
            <w:pPr>
              <w:widowControl/>
              <w:wordWrap w:val="0"/>
              <w:spacing w:line="520" w:lineRule="atLeast"/>
              <w:jc w:val="center"/>
              <w:rPr>
                <w:rFonts w:hint="eastAsia" w:ascii="仿宋" w:hAnsi="仿宋" w:eastAsia="仿宋" w:cs="仿宋"/>
                <w:kern w:val="0"/>
                <w:sz w:val="18"/>
                <w:szCs w:val="18"/>
              </w:rPr>
            </w:pPr>
          </w:p>
        </w:tc>
      </w:tr>
      <w:tr w14:paraId="517CD2A8">
        <w:tblPrEx>
          <w:tblCellMar>
            <w:top w:w="0" w:type="dxa"/>
            <w:left w:w="0" w:type="dxa"/>
            <w:bottom w:w="0" w:type="dxa"/>
            <w:right w:w="0" w:type="dxa"/>
          </w:tblCellMar>
        </w:tblPrEx>
        <w:trPr>
          <w:trHeight w:val="105" w:hRule="atLeast"/>
          <w:jc w:val="center"/>
        </w:trPr>
        <w:tc>
          <w:tcPr>
            <w:tcW w:w="723" w:type="dxa"/>
            <w:tcBorders>
              <w:top w:val="nil"/>
              <w:left w:val="single" w:color="auto" w:sz="4" w:space="0"/>
              <w:bottom w:val="single" w:color="auto" w:sz="8" w:space="0"/>
              <w:right w:val="single" w:color="auto" w:sz="8" w:space="0"/>
            </w:tcBorders>
            <w:tcMar>
              <w:top w:w="0" w:type="dxa"/>
              <w:left w:w="108" w:type="dxa"/>
              <w:bottom w:w="0" w:type="dxa"/>
              <w:right w:w="108" w:type="dxa"/>
            </w:tcMar>
            <w:vAlign w:val="center"/>
          </w:tcPr>
          <w:p w14:paraId="7E516B16">
            <w:pPr>
              <w:widowControl/>
              <w:wordWrap w:val="0"/>
              <w:spacing w:line="520" w:lineRule="atLeast"/>
              <w:jc w:val="center"/>
              <w:rPr>
                <w:rFonts w:hint="eastAsia" w:ascii="仿宋" w:hAnsi="仿宋" w:eastAsia="仿宋" w:cs="仿宋"/>
                <w:kern w:val="0"/>
                <w:sz w:val="24"/>
              </w:rPr>
            </w:pPr>
          </w:p>
        </w:tc>
        <w:tc>
          <w:tcPr>
            <w:tcW w:w="1500" w:type="dxa"/>
            <w:tcBorders>
              <w:top w:val="nil"/>
              <w:left w:val="nil"/>
              <w:bottom w:val="single" w:color="auto" w:sz="8" w:space="0"/>
              <w:right w:val="single" w:color="auto" w:sz="4" w:space="0"/>
            </w:tcBorders>
            <w:tcMar>
              <w:top w:w="0" w:type="dxa"/>
              <w:left w:w="108" w:type="dxa"/>
              <w:bottom w:w="0" w:type="dxa"/>
              <w:right w:w="108" w:type="dxa"/>
            </w:tcMar>
            <w:vAlign w:val="center"/>
          </w:tcPr>
          <w:p w14:paraId="14862A86">
            <w:pPr>
              <w:widowControl/>
              <w:wordWrap w:val="0"/>
              <w:spacing w:line="520" w:lineRule="atLeast"/>
              <w:jc w:val="center"/>
              <w:rPr>
                <w:rFonts w:hint="eastAsia" w:ascii="仿宋" w:hAnsi="仿宋" w:eastAsia="仿宋" w:cs="仿宋"/>
                <w:kern w:val="0"/>
                <w:sz w:val="18"/>
                <w:szCs w:val="18"/>
              </w:rPr>
            </w:pPr>
          </w:p>
        </w:tc>
        <w:tc>
          <w:tcPr>
            <w:tcW w:w="1497" w:type="dxa"/>
            <w:tcBorders>
              <w:top w:val="nil"/>
              <w:left w:val="single" w:color="auto" w:sz="4" w:space="0"/>
              <w:bottom w:val="single" w:color="auto" w:sz="8" w:space="0"/>
              <w:right w:val="single" w:color="auto" w:sz="8" w:space="0"/>
            </w:tcBorders>
            <w:tcMar>
              <w:top w:w="0" w:type="dxa"/>
              <w:left w:w="108" w:type="dxa"/>
              <w:bottom w:w="0" w:type="dxa"/>
              <w:right w:w="108" w:type="dxa"/>
            </w:tcMar>
            <w:vAlign w:val="center"/>
          </w:tcPr>
          <w:p w14:paraId="7A1A1025">
            <w:pPr>
              <w:widowControl/>
              <w:wordWrap w:val="0"/>
              <w:spacing w:line="520" w:lineRule="atLeast"/>
              <w:jc w:val="center"/>
              <w:rPr>
                <w:rFonts w:hint="eastAsia" w:ascii="仿宋" w:hAnsi="仿宋" w:eastAsia="仿宋" w:cs="仿宋"/>
                <w:kern w:val="0"/>
                <w:sz w:val="24"/>
              </w:rPr>
            </w:pPr>
          </w:p>
        </w:tc>
        <w:tc>
          <w:tcPr>
            <w:tcW w:w="1260" w:type="dxa"/>
            <w:tcBorders>
              <w:top w:val="nil"/>
              <w:left w:val="nil"/>
              <w:bottom w:val="single" w:color="auto" w:sz="8" w:space="0"/>
              <w:right w:val="single" w:color="auto" w:sz="8" w:space="0"/>
            </w:tcBorders>
            <w:tcMar>
              <w:top w:w="0" w:type="dxa"/>
              <w:left w:w="108" w:type="dxa"/>
              <w:bottom w:w="0" w:type="dxa"/>
              <w:right w:w="108" w:type="dxa"/>
            </w:tcMar>
            <w:vAlign w:val="center"/>
          </w:tcPr>
          <w:p w14:paraId="54EA67DB">
            <w:pPr>
              <w:widowControl/>
              <w:wordWrap w:val="0"/>
              <w:spacing w:line="520" w:lineRule="atLeast"/>
              <w:jc w:val="center"/>
              <w:rPr>
                <w:rFonts w:hint="eastAsia" w:ascii="仿宋" w:hAnsi="仿宋" w:eastAsia="仿宋" w:cs="仿宋"/>
                <w:kern w:val="0"/>
                <w:sz w:val="18"/>
                <w:szCs w:val="18"/>
              </w:rPr>
            </w:pPr>
          </w:p>
        </w:tc>
        <w:tc>
          <w:tcPr>
            <w:tcW w:w="2160" w:type="dxa"/>
            <w:tcBorders>
              <w:top w:val="nil"/>
              <w:left w:val="nil"/>
              <w:bottom w:val="single" w:color="auto" w:sz="8" w:space="0"/>
              <w:right w:val="single" w:color="auto" w:sz="8" w:space="0"/>
            </w:tcBorders>
            <w:tcMar>
              <w:top w:w="0" w:type="dxa"/>
              <w:left w:w="108" w:type="dxa"/>
              <w:bottom w:w="0" w:type="dxa"/>
              <w:right w:w="108" w:type="dxa"/>
            </w:tcMar>
            <w:vAlign w:val="center"/>
          </w:tcPr>
          <w:p w14:paraId="3F9F25AF">
            <w:pPr>
              <w:widowControl/>
              <w:wordWrap w:val="0"/>
              <w:spacing w:line="520" w:lineRule="atLeast"/>
              <w:jc w:val="center"/>
              <w:rPr>
                <w:rFonts w:hint="eastAsia" w:ascii="仿宋" w:hAnsi="仿宋" w:eastAsia="仿宋" w:cs="仿宋"/>
                <w:kern w:val="0"/>
                <w:sz w:val="18"/>
                <w:szCs w:val="18"/>
              </w:rPr>
            </w:pPr>
          </w:p>
        </w:tc>
        <w:tc>
          <w:tcPr>
            <w:tcW w:w="1080" w:type="dxa"/>
            <w:tcBorders>
              <w:top w:val="nil"/>
              <w:left w:val="nil"/>
              <w:bottom w:val="single" w:color="auto" w:sz="8" w:space="0"/>
              <w:right w:val="single" w:color="auto" w:sz="8" w:space="0"/>
            </w:tcBorders>
            <w:tcMar>
              <w:top w:w="0" w:type="dxa"/>
              <w:left w:w="108" w:type="dxa"/>
              <w:bottom w:w="0" w:type="dxa"/>
              <w:right w:w="108" w:type="dxa"/>
            </w:tcMar>
            <w:vAlign w:val="center"/>
          </w:tcPr>
          <w:p w14:paraId="57757E58">
            <w:pPr>
              <w:widowControl/>
              <w:wordWrap w:val="0"/>
              <w:spacing w:line="520" w:lineRule="atLeast"/>
              <w:jc w:val="center"/>
              <w:rPr>
                <w:rFonts w:hint="eastAsia" w:ascii="仿宋" w:hAnsi="仿宋" w:eastAsia="仿宋" w:cs="仿宋"/>
                <w:kern w:val="0"/>
                <w:sz w:val="18"/>
                <w:szCs w:val="18"/>
              </w:rPr>
            </w:pPr>
          </w:p>
        </w:tc>
      </w:tr>
      <w:tr w14:paraId="46BA65DF">
        <w:tblPrEx>
          <w:tblCellMar>
            <w:top w:w="0" w:type="dxa"/>
            <w:left w:w="0" w:type="dxa"/>
            <w:bottom w:w="0" w:type="dxa"/>
            <w:right w:w="0" w:type="dxa"/>
          </w:tblCellMar>
        </w:tblPrEx>
        <w:trPr>
          <w:trHeight w:val="105" w:hRule="atLeast"/>
          <w:jc w:val="center"/>
        </w:trPr>
        <w:tc>
          <w:tcPr>
            <w:tcW w:w="723" w:type="dxa"/>
            <w:tcBorders>
              <w:top w:val="nil"/>
              <w:left w:val="single" w:color="auto" w:sz="4" w:space="0"/>
              <w:bottom w:val="single" w:color="auto" w:sz="8" w:space="0"/>
              <w:right w:val="single" w:color="auto" w:sz="8" w:space="0"/>
            </w:tcBorders>
            <w:tcMar>
              <w:top w:w="0" w:type="dxa"/>
              <w:left w:w="108" w:type="dxa"/>
              <w:bottom w:w="0" w:type="dxa"/>
              <w:right w:w="108" w:type="dxa"/>
            </w:tcMar>
            <w:vAlign w:val="center"/>
          </w:tcPr>
          <w:p w14:paraId="3CAA44F5">
            <w:pPr>
              <w:widowControl/>
              <w:wordWrap w:val="0"/>
              <w:spacing w:line="520" w:lineRule="atLeast"/>
              <w:jc w:val="center"/>
              <w:rPr>
                <w:rFonts w:hint="eastAsia" w:ascii="仿宋" w:hAnsi="仿宋" w:eastAsia="仿宋" w:cs="仿宋"/>
                <w:kern w:val="0"/>
                <w:sz w:val="24"/>
              </w:rPr>
            </w:pPr>
          </w:p>
        </w:tc>
        <w:tc>
          <w:tcPr>
            <w:tcW w:w="1500" w:type="dxa"/>
            <w:tcBorders>
              <w:top w:val="nil"/>
              <w:left w:val="nil"/>
              <w:bottom w:val="single" w:color="auto" w:sz="8" w:space="0"/>
              <w:right w:val="single" w:color="auto" w:sz="4" w:space="0"/>
            </w:tcBorders>
            <w:tcMar>
              <w:top w:w="0" w:type="dxa"/>
              <w:left w:w="108" w:type="dxa"/>
              <w:bottom w:w="0" w:type="dxa"/>
              <w:right w:w="108" w:type="dxa"/>
            </w:tcMar>
            <w:vAlign w:val="center"/>
          </w:tcPr>
          <w:p w14:paraId="6B24413E">
            <w:pPr>
              <w:widowControl/>
              <w:wordWrap w:val="0"/>
              <w:spacing w:line="520" w:lineRule="atLeast"/>
              <w:jc w:val="center"/>
              <w:rPr>
                <w:rFonts w:hint="eastAsia" w:ascii="仿宋" w:hAnsi="仿宋" w:eastAsia="仿宋" w:cs="仿宋"/>
                <w:kern w:val="0"/>
                <w:sz w:val="18"/>
                <w:szCs w:val="18"/>
              </w:rPr>
            </w:pPr>
          </w:p>
        </w:tc>
        <w:tc>
          <w:tcPr>
            <w:tcW w:w="1497" w:type="dxa"/>
            <w:tcBorders>
              <w:top w:val="nil"/>
              <w:left w:val="single" w:color="auto" w:sz="4" w:space="0"/>
              <w:bottom w:val="single" w:color="auto" w:sz="8" w:space="0"/>
              <w:right w:val="single" w:color="auto" w:sz="8" w:space="0"/>
            </w:tcBorders>
            <w:tcMar>
              <w:top w:w="0" w:type="dxa"/>
              <w:left w:w="108" w:type="dxa"/>
              <w:bottom w:w="0" w:type="dxa"/>
              <w:right w:w="108" w:type="dxa"/>
            </w:tcMar>
            <w:vAlign w:val="center"/>
          </w:tcPr>
          <w:p w14:paraId="68E7EA59">
            <w:pPr>
              <w:widowControl/>
              <w:wordWrap w:val="0"/>
              <w:spacing w:line="520" w:lineRule="atLeast"/>
              <w:jc w:val="center"/>
              <w:rPr>
                <w:rFonts w:hint="eastAsia" w:ascii="仿宋" w:hAnsi="仿宋" w:eastAsia="仿宋" w:cs="仿宋"/>
                <w:kern w:val="0"/>
                <w:sz w:val="24"/>
              </w:rPr>
            </w:pPr>
          </w:p>
        </w:tc>
        <w:tc>
          <w:tcPr>
            <w:tcW w:w="1260" w:type="dxa"/>
            <w:tcBorders>
              <w:top w:val="nil"/>
              <w:left w:val="nil"/>
              <w:bottom w:val="single" w:color="auto" w:sz="8" w:space="0"/>
              <w:right w:val="single" w:color="auto" w:sz="8" w:space="0"/>
            </w:tcBorders>
            <w:tcMar>
              <w:top w:w="0" w:type="dxa"/>
              <w:left w:w="108" w:type="dxa"/>
              <w:bottom w:w="0" w:type="dxa"/>
              <w:right w:w="108" w:type="dxa"/>
            </w:tcMar>
            <w:vAlign w:val="center"/>
          </w:tcPr>
          <w:p w14:paraId="241637DE">
            <w:pPr>
              <w:widowControl/>
              <w:wordWrap w:val="0"/>
              <w:spacing w:line="520" w:lineRule="atLeast"/>
              <w:jc w:val="center"/>
              <w:rPr>
                <w:rFonts w:hint="eastAsia" w:ascii="仿宋" w:hAnsi="仿宋" w:eastAsia="仿宋" w:cs="仿宋"/>
                <w:kern w:val="0"/>
                <w:sz w:val="18"/>
                <w:szCs w:val="18"/>
              </w:rPr>
            </w:pPr>
          </w:p>
        </w:tc>
        <w:tc>
          <w:tcPr>
            <w:tcW w:w="2160" w:type="dxa"/>
            <w:tcBorders>
              <w:top w:val="nil"/>
              <w:left w:val="nil"/>
              <w:bottom w:val="single" w:color="auto" w:sz="8" w:space="0"/>
              <w:right w:val="single" w:color="auto" w:sz="8" w:space="0"/>
            </w:tcBorders>
            <w:tcMar>
              <w:top w:w="0" w:type="dxa"/>
              <w:left w:w="108" w:type="dxa"/>
              <w:bottom w:w="0" w:type="dxa"/>
              <w:right w:w="108" w:type="dxa"/>
            </w:tcMar>
            <w:vAlign w:val="center"/>
          </w:tcPr>
          <w:p w14:paraId="036A09D5">
            <w:pPr>
              <w:widowControl/>
              <w:wordWrap w:val="0"/>
              <w:spacing w:line="520" w:lineRule="atLeast"/>
              <w:jc w:val="center"/>
              <w:rPr>
                <w:rFonts w:hint="eastAsia" w:ascii="仿宋" w:hAnsi="仿宋" w:eastAsia="仿宋" w:cs="仿宋"/>
                <w:kern w:val="0"/>
                <w:sz w:val="18"/>
                <w:szCs w:val="18"/>
              </w:rPr>
            </w:pPr>
          </w:p>
        </w:tc>
        <w:tc>
          <w:tcPr>
            <w:tcW w:w="1080" w:type="dxa"/>
            <w:tcBorders>
              <w:top w:val="nil"/>
              <w:left w:val="nil"/>
              <w:bottom w:val="single" w:color="auto" w:sz="8" w:space="0"/>
              <w:right w:val="single" w:color="auto" w:sz="8" w:space="0"/>
            </w:tcBorders>
            <w:tcMar>
              <w:top w:w="0" w:type="dxa"/>
              <w:left w:w="108" w:type="dxa"/>
              <w:bottom w:w="0" w:type="dxa"/>
              <w:right w:w="108" w:type="dxa"/>
            </w:tcMar>
            <w:vAlign w:val="center"/>
          </w:tcPr>
          <w:p w14:paraId="1607DD1D">
            <w:pPr>
              <w:widowControl/>
              <w:wordWrap w:val="0"/>
              <w:spacing w:line="520" w:lineRule="atLeast"/>
              <w:jc w:val="center"/>
              <w:rPr>
                <w:rFonts w:hint="eastAsia" w:ascii="仿宋" w:hAnsi="仿宋" w:eastAsia="仿宋" w:cs="仿宋"/>
                <w:kern w:val="0"/>
                <w:sz w:val="18"/>
                <w:szCs w:val="18"/>
              </w:rPr>
            </w:pPr>
          </w:p>
        </w:tc>
      </w:tr>
      <w:tr w14:paraId="29FDBE17">
        <w:tblPrEx>
          <w:tblCellMar>
            <w:top w:w="0" w:type="dxa"/>
            <w:left w:w="0" w:type="dxa"/>
            <w:bottom w:w="0" w:type="dxa"/>
            <w:right w:w="0" w:type="dxa"/>
          </w:tblCellMar>
        </w:tblPrEx>
        <w:trPr>
          <w:trHeight w:val="375" w:hRule="atLeast"/>
          <w:jc w:val="center"/>
        </w:trPr>
        <w:tc>
          <w:tcPr>
            <w:tcW w:w="723" w:type="dxa"/>
            <w:tcBorders>
              <w:top w:val="nil"/>
              <w:left w:val="single" w:color="auto" w:sz="4" w:space="0"/>
              <w:bottom w:val="single" w:color="auto" w:sz="8" w:space="0"/>
              <w:right w:val="single" w:color="auto" w:sz="8" w:space="0"/>
            </w:tcBorders>
            <w:tcMar>
              <w:top w:w="0" w:type="dxa"/>
              <w:left w:w="108" w:type="dxa"/>
              <w:bottom w:w="0" w:type="dxa"/>
              <w:right w:w="108" w:type="dxa"/>
            </w:tcMar>
            <w:vAlign w:val="center"/>
          </w:tcPr>
          <w:p w14:paraId="77E2E8A9">
            <w:pPr>
              <w:widowControl/>
              <w:wordWrap w:val="0"/>
              <w:spacing w:line="520" w:lineRule="atLeast"/>
              <w:jc w:val="center"/>
              <w:rPr>
                <w:rFonts w:hint="eastAsia" w:ascii="仿宋" w:hAnsi="仿宋" w:eastAsia="仿宋" w:cs="仿宋"/>
                <w:kern w:val="0"/>
                <w:sz w:val="24"/>
              </w:rPr>
            </w:pPr>
          </w:p>
        </w:tc>
        <w:tc>
          <w:tcPr>
            <w:tcW w:w="1500" w:type="dxa"/>
            <w:tcBorders>
              <w:top w:val="nil"/>
              <w:left w:val="nil"/>
              <w:bottom w:val="single" w:color="auto" w:sz="8" w:space="0"/>
              <w:right w:val="single" w:color="auto" w:sz="4" w:space="0"/>
            </w:tcBorders>
            <w:tcMar>
              <w:top w:w="0" w:type="dxa"/>
              <w:left w:w="108" w:type="dxa"/>
              <w:bottom w:w="0" w:type="dxa"/>
              <w:right w:w="108" w:type="dxa"/>
            </w:tcMar>
            <w:vAlign w:val="center"/>
          </w:tcPr>
          <w:p w14:paraId="570494A1">
            <w:pPr>
              <w:widowControl/>
              <w:wordWrap w:val="0"/>
              <w:spacing w:line="520" w:lineRule="atLeast"/>
              <w:jc w:val="center"/>
              <w:rPr>
                <w:rFonts w:hint="eastAsia" w:ascii="仿宋" w:hAnsi="仿宋" w:eastAsia="仿宋" w:cs="仿宋"/>
                <w:kern w:val="0"/>
                <w:sz w:val="18"/>
                <w:szCs w:val="18"/>
              </w:rPr>
            </w:pPr>
          </w:p>
        </w:tc>
        <w:tc>
          <w:tcPr>
            <w:tcW w:w="1497" w:type="dxa"/>
            <w:tcBorders>
              <w:top w:val="nil"/>
              <w:left w:val="single" w:color="auto" w:sz="4" w:space="0"/>
              <w:bottom w:val="single" w:color="auto" w:sz="8" w:space="0"/>
              <w:right w:val="single" w:color="auto" w:sz="8" w:space="0"/>
            </w:tcBorders>
            <w:tcMar>
              <w:top w:w="0" w:type="dxa"/>
              <w:left w:w="108" w:type="dxa"/>
              <w:bottom w:w="0" w:type="dxa"/>
              <w:right w:w="108" w:type="dxa"/>
            </w:tcMar>
            <w:vAlign w:val="center"/>
          </w:tcPr>
          <w:p w14:paraId="65C6BA6E">
            <w:pPr>
              <w:widowControl/>
              <w:wordWrap w:val="0"/>
              <w:spacing w:line="520" w:lineRule="atLeast"/>
              <w:jc w:val="center"/>
              <w:rPr>
                <w:rFonts w:hint="eastAsia" w:ascii="仿宋" w:hAnsi="仿宋" w:eastAsia="仿宋" w:cs="仿宋"/>
                <w:kern w:val="0"/>
                <w:sz w:val="24"/>
              </w:rPr>
            </w:pPr>
          </w:p>
        </w:tc>
        <w:tc>
          <w:tcPr>
            <w:tcW w:w="1260" w:type="dxa"/>
            <w:tcBorders>
              <w:top w:val="nil"/>
              <w:left w:val="nil"/>
              <w:bottom w:val="single" w:color="auto" w:sz="8" w:space="0"/>
              <w:right w:val="single" w:color="auto" w:sz="8" w:space="0"/>
            </w:tcBorders>
            <w:tcMar>
              <w:top w:w="0" w:type="dxa"/>
              <w:left w:w="108" w:type="dxa"/>
              <w:bottom w:w="0" w:type="dxa"/>
              <w:right w:w="108" w:type="dxa"/>
            </w:tcMar>
            <w:vAlign w:val="center"/>
          </w:tcPr>
          <w:p w14:paraId="13EAF4EA">
            <w:pPr>
              <w:widowControl/>
              <w:wordWrap w:val="0"/>
              <w:spacing w:line="520" w:lineRule="atLeast"/>
              <w:jc w:val="center"/>
              <w:rPr>
                <w:rFonts w:hint="eastAsia" w:ascii="仿宋" w:hAnsi="仿宋" w:eastAsia="仿宋" w:cs="仿宋"/>
                <w:kern w:val="0"/>
                <w:sz w:val="18"/>
                <w:szCs w:val="18"/>
              </w:rPr>
            </w:pPr>
          </w:p>
        </w:tc>
        <w:tc>
          <w:tcPr>
            <w:tcW w:w="2160" w:type="dxa"/>
            <w:tcBorders>
              <w:top w:val="nil"/>
              <w:left w:val="nil"/>
              <w:bottom w:val="single" w:color="auto" w:sz="8" w:space="0"/>
              <w:right w:val="single" w:color="auto" w:sz="8" w:space="0"/>
            </w:tcBorders>
            <w:tcMar>
              <w:top w:w="0" w:type="dxa"/>
              <w:left w:w="108" w:type="dxa"/>
              <w:bottom w:w="0" w:type="dxa"/>
              <w:right w:w="108" w:type="dxa"/>
            </w:tcMar>
            <w:vAlign w:val="center"/>
          </w:tcPr>
          <w:p w14:paraId="37C27E83">
            <w:pPr>
              <w:widowControl/>
              <w:wordWrap w:val="0"/>
              <w:spacing w:line="520" w:lineRule="atLeast"/>
              <w:jc w:val="center"/>
              <w:rPr>
                <w:rFonts w:hint="eastAsia" w:ascii="仿宋" w:hAnsi="仿宋" w:eastAsia="仿宋" w:cs="仿宋"/>
                <w:kern w:val="0"/>
                <w:sz w:val="18"/>
                <w:szCs w:val="18"/>
              </w:rPr>
            </w:pPr>
          </w:p>
        </w:tc>
        <w:tc>
          <w:tcPr>
            <w:tcW w:w="1080" w:type="dxa"/>
            <w:tcBorders>
              <w:top w:val="nil"/>
              <w:left w:val="nil"/>
              <w:bottom w:val="single" w:color="auto" w:sz="8" w:space="0"/>
              <w:right w:val="single" w:color="auto" w:sz="8" w:space="0"/>
            </w:tcBorders>
            <w:tcMar>
              <w:top w:w="0" w:type="dxa"/>
              <w:left w:w="108" w:type="dxa"/>
              <w:bottom w:w="0" w:type="dxa"/>
              <w:right w:w="108" w:type="dxa"/>
            </w:tcMar>
            <w:vAlign w:val="center"/>
          </w:tcPr>
          <w:p w14:paraId="3B7C48B3">
            <w:pPr>
              <w:widowControl/>
              <w:wordWrap w:val="0"/>
              <w:spacing w:line="520" w:lineRule="atLeast"/>
              <w:jc w:val="center"/>
              <w:rPr>
                <w:rFonts w:hint="eastAsia" w:ascii="仿宋" w:hAnsi="仿宋" w:eastAsia="仿宋" w:cs="仿宋"/>
                <w:kern w:val="0"/>
                <w:sz w:val="18"/>
                <w:szCs w:val="18"/>
              </w:rPr>
            </w:pPr>
          </w:p>
        </w:tc>
      </w:tr>
      <w:tr w14:paraId="7AD5CCFD">
        <w:tblPrEx>
          <w:tblCellMar>
            <w:top w:w="0" w:type="dxa"/>
            <w:left w:w="0" w:type="dxa"/>
            <w:bottom w:w="0" w:type="dxa"/>
            <w:right w:w="0" w:type="dxa"/>
          </w:tblCellMar>
        </w:tblPrEx>
        <w:trPr>
          <w:trHeight w:val="375" w:hRule="atLeast"/>
          <w:jc w:val="center"/>
        </w:trPr>
        <w:tc>
          <w:tcPr>
            <w:tcW w:w="723" w:type="dxa"/>
            <w:tcBorders>
              <w:top w:val="nil"/>
              <w:left w:val="single" w:color="auto" w:sz="4" w:space="0"/>
              <w:bottom w:val="single" w:color="auto" w:sz="8" w:space="0"/>
              <w:right w:val="single" w:color="auto" w:sz="8" w:space="0"/>
            </w:tcBorders>
            <w:tcMar>
              <w:top w:w="0" w:type="dxa"/>
              <w:left w:w="108" w:type="dxa"/>
              <w:bottom w:w="0" w:type="dxa"/>
              <w:right w:w="108" w:type="dxa"/>
            </w:tcMar>
            <w:vAlign w:val="center"/>
          </w:tcPr>
          <w:p w14:paraId="067241A4">
            <w:pPr>
              <w:widowControl/>
              <w:wordWrap w:val="0"/>
              <w:spacing w:line="520" w:lineRule="atLeast"/>
              <w:jc w:val="center"/>
              <w:rPr>
                <w:rFonts w:hint="eastAsia" w:ascii="仿宋" w:hAnsi="仿宋" w:eastAsia="仿宋" w:cs="仿宋"/>
                <w:kern w:val="0"/>
                <w:sz w:val="24"/>
              </w:rPr>
            </w:pPr>
          </w:p>
        </w:tc>
        <w:tc>
          <w:tcPr>
            <w:tcW w:w="1500" w:type="dxa"/>
            <w:tcBorders>
              <w:top w:val="nil"/>
              <w:left w:val="nil"/>
              <w:bottom w:val="single" w:color="auto" w:sz="8" w:space="0"/>
              <w:right w:val="single" w:color="auto" w:sz="4" w:space="0"/>
            </w:tcBorders>
            <w:tcMar>
              <w:top w:w="0" w:type="dxa"/>
              <w:left w:w="108" w:type="dxa"/>
              <w:bottom w:w="0" w:type="dxa"/>
              <w:right w:w="108" w:type="dxa"/>
            </w:tcMar>
            <w:vAlign w:val="center"/>
          </w:tcPr>
          <w:p w14:paraId="684CD66A">
            <w:pPr>
              <w:widowControl/>
              <w:wordWrap w:val="0"/>
              <w:spacing w:line="520" w:lineRule="atLeast"/>
              <w:jc w:val="center"/>
              <w:rPr>
                <w:rFonts w:hint="eastAsia" w:ascii="仿宋" w:hAnsi="仿宋" w:eastAsia="仿宋" w:cs="仿宋"/>
                <w:kern w:val="0"/>
                <w:sz w:val="18"/>
                <w:szCs w:val="18"/>
              </w:rPr>
            </w:pPr>
          </w:p>
        </w:tc>
        <w:tc>
          <w:tcPr>
            <w:tcW w:w="1497" w:type="dxa"/>
            <w:tcBorders>
              <w:top w:val="nil"/>
              <w:left w:val="single" w:color="auto" w:sz="4" w:space="0"/>
              <w:bottom w:val="single" w:color="auto" w:sz="8" w:space="0"/>
              <w:right w:val="single" w:color="auto" w:sz="8" w:space="0"/>
            </w:tcBorders>
            <w:tcMar>
              <w:top w:w="0" w:type="dxa"/>
              <w:left w:w="108" w:type="dxa"/>
              <w:bottom w:w="0" w:type="dxa"/>
              <w:right w:w="108" w:type="dxa"/>
            </w:tcMar>
            <w:vAlign w:val="center"/>
          </w:tcPr>
          <w:p w14:paraId="66CA964B">
            <w:pPr>
              <w:widowControl/>
              <w:wordWrap w:val="0"/>
              <w:spacing w:line="520" w:lineRule="atLeast"/>
              <w:jc w:val="center"/>
              <w:rPr>
                <w:rFonts w:hint="eastAsia" w:ascii="仿宋" w:hAnsi="仿宋" w:eastAsia="仿宋" w:cs="仿宋"/>
                <w:kern w:val="0"/>
                <w:sz w:val="24"/>
              </w:rPr>
            </w:pPr>
          </w:p>
        </w:tc>
        <w:tc>
          <w:tcPr>
            <w:tcW w:w="1260" w:type="dxa"/>
            <w:tcBorders>
              <w:top w:val="nil"/>
              <w:left w:val="nil"/>
              <w:bottom w:val="single" w:color="auto" w:sz="8" w:space="0"/>
              <w:right w:val="single" w:color="auto" w:sz="8" w:space="0"/>
            </w:tcBorders>
            <w:tcMar>
              <w:top w:w="0" w:type="dxa"/>
              <w:left w:w="108" w:type="dxa"/>
              <w:bottom w:w="0" w:type="dxa"/>
              <w:right w:w="108" w:type="dxa"/>
            </w:tcMar>
            <w:vAlign w:val="center"/>
          </w:tcPr>
          <w:p w14:paraId="04F4A9C5">
            <w:pPr>
              <w:widowControl/>
              <w:wordWrap w:val="0"/>
              <w:spacing w:line="520" w:lineRule="atLeast"/>
              <w:jc w:val="center"/>
              <w:rPr>
                <w:rFonts w:hint="eastAsia" w:ascii="仿宋" w:hAnsi="仿宋" w:eastAsia="仿宋" w:cs="仿宋"/>
                <w:kern w:val="0"/>
                <w:sz w:val="18"/>
                <w:szCs w:val="18"/>
              </w:rPr>
            </w:pPr>
          </w:p>
        </w:tc>
        <w:tc>
          <w:tcPr>
            <w:tcW w:w="2160" w:type="dxa"/>
            <w:tcBorders>
              <w:top w:val="nil"/>
              <w:left w:val="nil"/>
              <w:bottom w:val="single" w:color="auto" w:sz="8" w:space="0"/>
              <w:right w:val="single" w:color="auto" w:sz="8" w:space="0"/>
            </w:tcBorders>
            <w:tcMar>
              <w:top w:w="0" w:type="dxa"/>
              <w:left w:w="108" w:type="dxa"/>
              <w:bottom w:w="0" w:type="dxa"/>
              <w:right w:w="108" w:type="dxa"/>
            </w:tcMar>
            <w:vAlign w:val="center"/>
          </w:tcPr>
          <w:p w14:paraId="39219AF9">
            <w:pPr>
              <w:widowControl/>
              <w:wordWrap w:val="0"/>
              <w:spacing w:line="520" w:lineRule="atLeast"/>
              <w:jc w:val="center"/>
              <w:rPr>
                <w:rFonts w:hint="eastAsia" w:ascii="仿宋" w:hAnsi="仿宋" w:eastAsia="仿宋" w:cs="仿宋"/>
                <w:kern w:val="0"/>
                <w:sz w:val="18"/>
                <w:szCs w:val="18"/>
              </w:rPr>
            </w:pPr>
          </w:p>
        </w:tc>
        <w:tc>
          <w:tcPr>
            <w:tcW w:w="1080" w:type="dxa"/>
            <w:tcBorders>
              <w:top w:val="nil"/>
              <w:left w:val="nil"/>
              <w:bottom w:val="single" w:color="auto" w:sz="8" w:space="0"/>
              <w:right w:val="single" w:color="auto" w:sz="8" w:space="0"/>
            </w:tcBorders>
            <w:tcMar>
              <w:top w:w="0" w:type="dxa"/>
              <w:left w:w="108" w:type="dxa"/>
              <w:bottom w:w="0" w:type="dxa"/>
              <w:right w:w="108" w:type="dxa"/>
            </w:tcMar>
            <w:vAlign w:val="center"/>
          </w:tcPr>
          <w:p w14:paraId="594302F8">
            <w:pPr>
              <w:widowControl/>
              <w:wordWrap w:val="0"/>
              <w:spacing w:line="520" w:lineRule="atLeast"/>
              <w:jc w:val="center"/>
              <w:rPr>
                <w:rFonts w:hint="eastAsia" w:ascii="仿宋" w:hAnsi="仿宋" w:eastAsia="仿宋" w:cs="仿宋"/>
                <w:kern w:val="0"/>
                <w:sz w:val="18"/>
                <w:szCs w:val="18"/>
              </w:rPr>
            </w:pPr>
          </w:p>
        </w:tc>
      </w:tr>
      <w:tr w14:paraId="5FEB62D4">
        <w:tblPrEx>
          <w:tblCellMar>
            <w:top w:w="0" w:type="dxa"/>
            <w:left w:w="0" w:type="dxa"/>
            <w:bottom w:w="0" w:type="dxa"/>
            <w:right w:w="0" w:type="dxa"/>
          </w:tblCellMar>
        </w:tblPrEx>
        <w:trPr>
          <w:trHeight w:val="375" w:hRule="atLeast"/>
          <w:jc w:val="center"/>
        </w:trPr>
        <w:tc>
          <w:tcPr>
            <w:tcW w:w="723" w:type="dxa"/>
            <w:tcBorders>
              <w:top w:val="nil"/>
              <w:left w:val="single" w:color="auto" w:sz="4" w:space="0"/>
              <w:bottom w:val="single" w:color="auto" w:sz="8" w:space="0"/>
              <w:right w:val="single" w:color="auto" w:sz="8" w:space="0"/>
            </w:tcBorders>
            <w:tcMar>
              <w:top w:w="0" w:type="dxa"/>
              <w:left w:w="108" w:type="dxa"/>
              <w:bottom w:w="0" w:type="dxa"/>
              <w:right w:w="108" w:type="dxa"/>
            </w:tcMar>
            <w:vAlign w:val="center"/>
          </w:tcPr>
          <w:p w14:paraId="77261180">
            <w:pPr>
              <w:widowControl/>
              <w:wordWrap w:val="0"/>
              <w:spacing w:line="520" w:lineRule="atLeast"/>
              <w:jc w:val="center"/>
              <w:rPr>
                <w:rFonts w:hint="eastAsia" w:ascii="仿宋" w:hAnsi="仿宋" w:eastAsia="仿宋" w:cs="仿宋"/>
                <w:kern w:val="0"/>
                <w:sz w:val="24"/>
              </w:rPr>
            </w:pPr>
          </w:p>
        </w:tc>
        <w:tc>
          <w:tcPr>
            <w:tcW w:w="1500" w:type="dxa"/>
            <w:tcBorders>
              <w:top w:val="nil"/>
              <w:left w:val="nil"/>
              <w:bottom w:val="single" w:color="auto" w:sz="8" w:space="0"/>
              <w:right w:val="single" w:color="auto" w:sz="4" w:space="0"/>
            </w:tcBorders>
            <w:tcMar>
              <w:top w:w="0" w:type="dxa"/>
              <w:left w:w="108" w:type="dxa"/>
              <w:bottom w:w="0" w:type="dxa"/>
              <w:right w:w="108" w:type="dxa"/>
            </w:tcMar>
            <w:vAlign w:val="center"/>
          </w:tcPr>
          <w:p w14:paraId="0A7A44A1">
            <w:pPr>
              <w:widowControl/>
              <w:wordWrap w:val="0"/>
              <w:spacing w:line="520" w:lineRule="atLeast"/>
              <w:jc w:val="center"/>
              <w:rPr>
                <w:rFonts w:hint="eastAsia" w:ascii="仿宋" w:hAnsi="仿宋" w:eastAsia="仿宋" w:cs="仿宋"/>
                <w:kern w:val="0"/>
                <w:sz w:val="18"/>
                <w:szCs w:val="18"/>
              </w:rPr>
            </w:pPr>
          </w:p>
        </w:tc>
        <w:tc>
          <w:tcPr>
            <w:tcW w:w="1497" w:type="dxa"/>
            <w:tcBorders>
              <w:top w:val="nil"/>
              <w:left w:val="single" w:color="auto" w:sz="4" w:space="0"/>
              <w:bottom w:val="single" w:color="auto" w:sz="8" w:space="0"/>
              <w:right w:val="single" w:color="auto" w:sz="8" w:space="0"/>
            </w:tcBorders>
            <w:tcMar>
              <w:top w:w="0" w:type="dxa"/>
              <w:left w:w="108" w:type="dxa"/>
              <w:bottom w:w="0" w:type="dxa"/>
              <w:right w:w="108" w:type="dxa"/>
            </w:tcMar>
            <w:vAlign w:val="center"/>
          </w:tcPr>
          <w:p w14:paraId="0FA781F9">
            <w:pPr>
              <w:widowControl/>
              <w:wordWrap w:val="0"/>
              <w:spacing w:line="520" w:lineRule="atLeast"/>
              <w:jc w:val="center"/>
              <w:rPr>
                <w:rFonts w:hint="eastAsia" w:ascii="仿宋" w:hAnsi="仿宋" w:eastAsia="仿宋" w:cs="仿宋"/>
                <w:kern w:val="0"/>
                <w:sz w:val="24"/>
              </w:rPr>
            </w:pPr>
          </w:p>
        </w:tc>
        <w:tc>
          <w:tcPr>
            <w:tcW w:w="1260" w:type="dxa"/>
            <w:tcBorders>
              <w:top w:val="nil"/>
              <w:left w:val="nil"/>
              <w:bottom w:val="single" w:color="auto" w:sz="8" w:space="0"/>
              <w:right w:val="single" w:color="auto" w:sz="8" w:space="0"/>
            </w:tcBorders>
            <w:tcMar>
              <w:top w:w="0" w:type="dxa"/>
              <w:left w:w="108" w:type="dxa"/>
              <w:bottom w:w="0" w:type="dxa"/>
              <w:right w:w="108" w:type="dxa"/>
            </w:tcMar>
            <w:vAlign w:val="center"/>
          </w:tcPr>
          <w:p w14:paraId="2831EAC0">
            <w:pPr>
              <w:widowControl/>
              <w:wordWrap w:val="0"/>
              <w:spacing w:line="520" w:lineRule="atLeast"/>
              <w:jc w:val="center"/>
              <w:rPr>
                <w:rFonts w:hint="eastAsia" w:ascii="仿宋" w:hAnsi="仿宋" w:eastAsia="仿宋" w:cs="仿宋"/>
                <w:kern w:val="0"/>
                <w:sz w:val="18"/>
                <w:szCs w:val="18"/>
              </w:rPr>
            </w:pPr>
          </w:p>
        </w:tc>
        <w:tc>
          <w:tcPr>
            <w:tcW w:w="2160" w:type="dxa"/>
            <w:tcBorders>
              <w:top w:val="nil"/>
              <w:left w:val="nil"/>
              <w:bottom w:val="single" w:color="auto" w:sz="8" w:space="0"/>
              <w:right w:val="single" w:color="auto" w:sz="8" w:space="0"/>
            </w:tcBorders>
            <w:tcMar>
              <w:top w:w="0" w:type="dxa"/>
              <w:left w:w="108" w:type="dxa"/>
              <w:bottom w:w="0" w:type="dxa"/>
              <w:right w:w="108" w:type="dxa"/>
            </w:tcMar>
            <w:vAlign w:val="center"/>
          </w:tcPr>
          <w:p w14:paraId="1E07918F">
            <w:pPr>
              <w:widowControl/>
              <w:wordWrap w:val="0"/>
              <w:spacing w:line="520" w:lineRule="atLeast"/>
              <w:jc w:val="center"/>
              <w:rPr>
                <w:rFonts w:hint="eastAsia" w:ascii="仿宋" w:hAnsi="仿宋" w:eastAsia="仿宋" w:cs="仿宋"/>
                <w:kern w:val="0"/>
                <w:sz w:val="18"/>
                <w:szCs w:val="18"/>
              </w:rPr>
            </w:pPr>
          </w:p>
        </w:tc>
        <w:tc>
          <w:tcPr>
            <w:tcW w:w="1080" w:type="dxa"/>
            <w:tcBorders>
              <w:top w:val="nil"/>
              <w:left w:val="nil"/>
              <w:bottom w:val="single" w:color="auto" w:sz="8" w:space="0"/>
              <w:right w:val="single" w:color="auto" w:sz="8" w:space="0"/>
            </w:tcBorders>
            <w:tcMar>
              <w:top w:w="0" w:type="dxa"/>
              <w:left w:w="108" w:type="dxa"/>
              <w:bottom w:w="0" w:type="dxa"/>
              <w:right w:w="108" w:type="dxa"/>
            </w:tcMar>
            <w:vAlign w:val="center"/>
          </w:tcPr>
          <w:p w14:paraId="2367CB35">
            <w:pPr>
              <w:widowControl/>
              <w:wordWrap w:val="0"/>
              <w:spacing w:line="520" w:lineRule="atLeast"/>
              <w:jc w:val="center"/>
              <w:rPr>
                <w:rFonts w:hint="eastAsia" w:ascii="仿宋" w:hAnsi="仿宋" w:eastAsia="仿宋" w:cs="仿宋"/>
                <w:kern w:val="0"/>
                <w:sz w:val="18"/>
                <w:szCs w:val="18"/>
              </w:rPr>
            </w:pPr>
          </w:p>
        </w:tc>
      </w:tr>
    </w:tbl>
    <w:p w14:paraId="643B5028">
      <w:pPr>
        <w:widowControl/>
        <w:shd w:val="clear" w:color="auto" w:fill="FFFFFF"/>
        <w:wordWrap w:val="0"/>
        <w:spacing w:line="270" w:lineRule="atLeast"/>
        <w:jc w:val="left"/>
        <w:rPr>
          <w:rFonts w:hint="eastAsia" w:ascii="仿宋" w:hAnsi="仿宋" w:eastAsia="仿宋" w:cs="仿宋"/>
          <w:kern w:val="0"/>
          <w:sz w:val="18"/>
          <w:szCs w:val="18"/>
        </w:rPr>
      </w:pPr>
    </w:p>
    <w:p w14:paraId="527EF302">
      <w:pPr>
        <w:widowControl/>
        <w:shd w:val="clear" w:color="auto" w:fill="FFFFFF"/>
        <w:wordWrap w:val="0"/>
        <w:ind w:firstLine="480"/>
        <w:jc w:val="left"/>
        <w:rPr>
          <w:rFonts w:hint="eastAsia" w:ascii="仿宋" w:hAnsi="仿宋" w:eastAsia="仿宋" w:cs="仿宋"/>
          <w:kern w:val="0"/>
          <w:sz w:val="18"/>
          <w:szCs w:val="18"/>
        </w:rPr>
      </w:pPr>
    </w:p>
    <w:p w14:paraId="6B3D83D1">
      <w:pPr>
        <w:widowControl/>
        <w:shd w:val="clear" w:color="auto" w:fill="FFFFFF"/>
        <w:wordWrap w:val="0"/>
        <w:ind w:firstLine="480"/>
        <w:jc w:val="left"/>
        <w:rPr>
          <w:rFonts w:hint="eastAsia" w:ascii="仿宋" w:hAnsi="仿宋" w:eastAsia="仿宋" w:cs="仿宋"/>
          <w:kern w:val="0"/>
          <w:sz w:val="18"/>
          <w:szCs w:val="18"/>
        </w:rPr>
      </w:pPr>
      <w:r>
        <w:rPr>
          <w:rFonts w:hint="eastAsia" w:ascii="仿宋" w:hAnsi="仿宋" w:eastAsia="仿宋" w:cs="仿宋"/>
          <w:kern w:val="0"/>
          <w:sz w:val="24"/>
        </w:rPr>
        <w:t>法定代表人或授权代表签字：</w:t>
      </w:r>
    </w:p>
    <w:p w14:paraId="31F6DEF0">
      <w:pPr>
        <w:widowControl/>
        <w:shd w:val="clear" w:color="auto" w:fill="FFFFFF"/>
        <w:wordWrap w:val="0"/>
        <w:spacing w:line="270" w:lineRule="atLeast"/>
        <w:ind w:firstLine="449"/>
        <w:jc w:val="left"/>
        <w:rPr>
          <w:rFonts w:hint="eastAsia" w:ascii="仿宋" w:hAnsi="仿宋" w:eastAsia="仿宋" w:cs="仿宋"/>
          <w:kern w:val="0"/>
          <w:sz w:val="18"/>
          <w:szCs w:val="18"/>
        </w:rPr>
      </w:pPr>
      <w:r>
        <w:rPr>
          <w:rFonts w:hint="eastAsia" w:ascii="仿宋" w:hAnsi="仿宋" w:eastAsia="仿宋" w:cs="仿宋"/>
          <w:kern w:val="0"/>
          <w:sz w:val="24"/>
        </w:rPr>
        <w:t>日期</w:t>
      </w:r>
      <w:r>
        <w:rPr>
          <w:rFonts w:hint="eastAsia" w:ascii="仿宋" w:hAnsi="仿宋" w:eastAsia="仿宋" w:cs="仿宋"/>
          <w:b/>
          <w:bCs/>
          <w:kern w:val="0"/>
          <w:sz w:val="24"/>
        </w:rPr>
        <w:t>:</w:t>
      </w:r>
    </w:p>
    <w:p w14:paraId="66D37A52">
      <w:pPr>
        <w:rPr>
          <w:rFonts w:hint="eastAsia" w:ascii="仿宋" w:hAnsi="仿宋" w:eastAsia="仿宋" w:cs="仿宋"/>
          <w:b/>
          <w:bCs/>
          <w:kern w:val="0"/>
          <w:sz w:val="28"/>
          <w:szCs w:val="32"/>
          <w:shd w:val="clear" w:color="auto" w:fill="FFFFFF"/>
        </w:rPr>
      </w:pPr>
      <w:r>
        <w:rPr>
          <w:rFonts w:hint="eastAsia" w:ascii="仿宋" w:hAnsi="仿宋" w:eastAsia="仿宋" w:cs="仿宋"/>
          <w:b/>
          <w:bCs/>
          <w:kern w:val="0"/>
          <w:sz w:val="28"/>
          <w:szCs w:val="32"/>
          <w:shd w:val="clear" w:color="auto" w:fill="FFFFFF"/>
        </w:rPr>
        <w:br w:type="page"/>
      </w:r>
    </w:p>
    <w:p w14:paraId="5A089386">
      <w:pPr>
        <w:widowControl/>
        <w:adjustRightInd w:val="0"/>
        <w:snapToGrid w:val="0"/>
        <w:spacing w:line="580" w:lineRule="exact"/>
        <w:jc w:val="left"/>
        <w:outlineLvl w:val="1"/>
        <w:rPr>
          <w:rFonts w:hint="eastAsia" w:ascii="仿宋" w:hAnsi="仿宋" w:eastAsia="仿宋" w:cs="仿宋"/>
          <w:sz w:val="28"/>
          <w:szCs w:val="32"/>
        </w:rPr>
      </w:pPr>
      <w:r>
        <w:rPr>
          <w:rFonts w:hint="eastAsia" w:ascii="仿宋" w:hAnsi="仿宋" w:eastAsia="仿宋" w:cs="仿宋"/>
          <w:sz w:val="28"/>
          <w:szCs w:val="32"/>
        </w:rPr>
        <w:t>附件5-5：授权委托书</w:t>
      </w:r>
    </w:p>
    <w:p w14:paraId="16105F90">
      <w:pPr>
        <w:widowControl/>
        <w:spacing w:line="660" w:lineRule="exact"/>
        <w:jc w:val="center"/>
        <w:rPr>
          <w:rFonts w:hint="eastAsia" w:ascii="方正小标宋简体" w:hAnsi="仿宋" w:eastAsia="方正小标宋简体" w:cs="仿宋"/>
          <w:kern w:val="0"/>
          <w:sz w:val="44"/>
          <w:szCs w:val="44"/>
        </w:rPr>
      </w:pPr>
      <w:r>
        <w:rPr>
          <w:rFonts w:hint="eastAsia" w:ascii="方正小标宋简体" w:hAnsi="仿宋" w:eastAsia="方正小标宋简体" w:cs="仿宋"/>
          <w:kern w:val="0"/>
          <w:sz w:val="44"/>
          <w:szCs w:val="44"/>
        </w:rPr>
        <w:t>授权委托书</w:t>
      </w:r>
    </w:p>
    <w:p w14:paraId="0D2ECFA9">
      <w:pPr>
        <w:pStyle w:val="22"/>
        <w:spacing w:before="46" w:after="46"/>
        <w:ind w:firstLine="480"/>
        <w:jc w:val="center"/>
        <w:rPr>
          <w:rFonts w:hint="eastAsia" w:ascii="仿宋" w:hAnsi="仿宋" w:eastAsia="仿宋" w:cs="仿宋"/>
          <w:kern w:val="2"/>
          <w:sz w:val="24"/>
          <w:szCs w:val="22"/>
        </w:rPr>
      </w:pPr>
      <w:r>
        <w:rPr>
          <w:rFonts w:hint="eastAsia" w:ascii="仿宋" w:hAnsi="仿宋" w:eastAsia="仿宋" w:cs="仿宋"/>
          <w:kern w:val="2"/>
          <w:sz w:val="24"/>
          <w:szCs w:val="22"/>
        </w:rPr>
        <w:t>（若供应商代表为“授权代表”时，提供此委托书）</w:t>
      </w:r>
    </w:p>
    <w:p w14:paraId="57E150A6">
      <w:pPr>
        <w:pStyle w:val="2"/>
        <w:spacing w:line="520" w:lineRule="exact"/>
        <w:rPr>
          <w:rFonts w:hint="eastAsia" w:ascii="仿宋" w:hAnsi="仿宋" w:eastAsia="仿宋" w:cs="仿宋"/>
          <w:sz w:val="24"/>
        </w:rPr>
      </w:pPr>
      <w:r>
        <w:rPr>
          <w:rFonts w:hint="eastAsia" w:ascii="仿宋" w:hAnsi="仿宋" w:eastAsia="仿宋" w:cs="仿宋"/>
          <w:sz w:val="24"/>
        </w:rPr>
        <w:t>四川省妇幼保健院：</w:t>
      </w:r>
    </w:p>
    <w:p w14:paraId="79DFCA5E">
      <w:pPr>
        <w:pStyle w:val="2"/>
        <w:spacing w:line="520" w:lineRule="exact"/>
        <w:ind w:firstLine="480" w:firstLineChars="200"/>
        <w:rPr>
          <w:rFonts w:hint="eastAsia" w:ascii="仿宋" w:hAnsi="仿宋" w:eastAsia="仿宋" w:cs="仿宋"/>
          <w:sz w:val="24"/>
        </w:rPr>
      </w:pPr>
      <w:r>
        <w:rPr>
          <w:rFonts w:hint="eastAsia" w:ascii="仿宋" w:hAnsi="仿宋" w:eastAsia="仿宋" w:cs="仿宋"/>
          <w:sz w:val="24"/>
        </w:rPr>
        <w:t>本人</w:t>
      </w:r>
      <w:r>
        <w:rPr>
          <w:rFonts w:hint="eastAsia" w:ascii="仿宋" w:hAnsi="仿宋" w:eastAsia="仿宋" w:cs="仿宋"/>
          <w:sz w:val="24"/>
          <w:u w:val="single"/>
        </w:rPr>
        <w:t xml:space="preserve">       </w:t>
      </w:r>
      <w:r>
        <w:rPr>
          <w:rFonts w:hint="eastAsia" w:ascii="仿宋" w:hAnsi="仿宋" w:eastAsia="仿宋" w:cs="仿宋"/>
          <w:sz w:val="24"/>
        </w:rPr>
        <w:t>（姓名）系</w:t>
      </w:r>
      <w:r>
        <w:rPr>
          <w:rFonts w:hint="eastAsia" w:ascii="仿宋" w:hAnsi="仿宋" w:eastAsia="仿宋" w:cs="仿宋"/>
          <w:sz w:val="24"/>
          <w:u w:val="single"/>
        </w:rPr>
        <w:t xml:space="preserve">       </w:t>
      </w:r>
      <w:r>
        <w:rPr>
          <w:rFonts w:hint="eastAsia" w:ascii="仿宋" w:hAnsi="仿宋" w:eastAsia="仿宋" w:cs="仿宋"/>
          <w:sz w:val="24"/>
        </w:rPr>
        <w:t>（供应商名称）的法定代表人（单位负责人），现委托</w:t>
      </w:r>
      <w:r>
        <w:rPr>
          <w:rFonts w:hint="eastAsia" w:ascii="仿宋" w:hAnsi="仿宋" w:eastAsia="仿宋" w:cs="仿宋"/>
          <w:sz w:val="24"/>
          <w:u w:val="single"/>
        </w:rPr>
        <w:t xml:space="preserve">       </w:t>
      </w:r>
      <w:r>
        <w:rPr>
          <w:rFonts w:hint="eastAsia" w:ascii="仿宋" w:hAnsi="仿宋" w:eastAsia="仿宋" w:cs="仿宋"/>
          <w:sz w:val="24"/>
        </w:rPr>
        <w:t>（姓名）为我方代理人。代理人在本次采购中所签署的一切文件和处理的一切有关事宜，我公司（单位）均予承认，所产生的法律后果均由我公司（单位）承担。</w:t>
      </w:r>
    </w:p>
    <w:p w14:paraId="19635EBA">
      <w:pPr>
        <w:pStyle w:val="2"/>
        <w:spacing w:line="520" w:lineRule="exact"/>
        <w:ind w:firstLine="480" w:firstLineChars="200"/>
        <w:rPr>
          <w:rFonts w:hint="eastAsia" w:ascii="仿宋" w:hAnsi="仿宋" w:eastAsia="仿宋" w:cs="仿宋"/>
          <w:sz w:val="24"/>
        </w:rPr>
      </w:pPr>
      <w:r>
        <w:rPr>
          <w:rFonts w:hint="eastAsia" w:ascii="仿宋" w:hAnsi="仿宋" w:eastAsia="仿宋" w:cs="仿宋"/>
          <w:sz w:val="24"/>
        </w:rPr>
        <w:t>委托期限：自本授权委托书签署之日起至响应文件有效期届满之日止。代理人无转委托权。</w:t>
      </w:r>
    </w:p>
    <w:p w14:paraId="1435D2AD">
      <w:pPr>
        <w:pStyle w:val="2"/>
        <w:spacing w:line="520" w:lineRule="exact"/>
        <w:ind w:firstLine="480" w:firstLineChars="200"/>
        <w:rPr>
          <w:rFonts w:hint="eastAsia" w:ascii="仿宋" w:hAnsi="仿宋" w:eastAsia="仿宋" w:cs="仿宋"/>
          <w:sz w:val="24"/>
        </w:rPr>
      </w:pPr>
      <w:r>
        <w:rPr>
          <w:rFonts w:hint="eastAsia" w:ascii="仿宋" w:hAnsi="仿宋" w:eastAsia="仿宋" w:cs="仿宋"/>
          <w:sz w:val="24"/>
        </w:rPr>
        <w:t>供应商名称：XXXX（盖单位公章）</w:t>
      </w:r>
    </w:p>
    <w:p w14:paraId="6FDFE6CD">
      <w:pPr>
        <w:pStyle w:val="2"/>
        <w:spacing w:line="520" w:lineRule="exact"/>
        <w:ind w:firstLine="480" w:firstLineChars="200"/>
        <w:rPr>
          <w:rFonts w:hint="eastAsia" w:ascii="仿宋" w:hAnsi="仿宋" w:eastAsia="仿宋" w:cs="仿宋"/>
          <w:sz w:val="24"/>
        </w:rPr>
      </w:pPr>
      <w:r>
        <w:rPr>
          <w:rFonts w:hint="eastAsia" w:ascii="仿宋" w:hAnsi="仿宋" w:eastAsia="仿宋" w:cs="仿宋"/>
          <w:sz w:val="24"/>
        </w:rPr>
        <w:t>法定代表人（单位负责人）（签字或加盖个人名章）：XXXX。</w:t>
      </w:r>
    </w:p>
    <w:p w14:paraId="7BA629E6">
      <w:pPr>
        <w:pStyle w:val="2"/>
        <w:spacing w:line="520" w:lineRule="exact"/>
        <w:ind w:firstLine="480" w:firstLineChars="200"/>
        <w:rPr>
          <w:rFonts w:hint="eastAsia" w:ascii="仿宋" w:hAnsi="仿宋" w:eastAsia="仿宋" w:cs="仿宋"/>
          <w:sz w:val="24"/>
        </w:rPr>
      </w:pPr>
      <w:r>
        <w:rPr>
          <w:rFonts w:hint="eastAsia" w:ascii="仿宋" w:hAnsi="仿宋" w:eastAsia="仿宋" w:cs="仿宋"/>
          <w:sz w:val="24"/>
        </w:rPr>
        <w:t>授权代表（代理人）签字：XXXX。</w:t>
      </w:r>
    </w:p>
    <w:p w14:paraId="30A25E42">
      <w:pPr>
        <w:pStyle w:val="2"/>
        <w:spacing w:line="520" w:lineRule="exact"/>
        <w:ind w:firstLine="480" w:firstLineChars="200"/>
        <w:rPr>
          <w:rFonts w:hint="eastAsia" w:ascii="仿宋" w:hAnsi="仿宋" w:eastAsia="仿宋" w:cs="仿宋"/>
          <w:sz w:val="24"/>
        </w:rPr>
      </w:pPr>
      <w:r>
        <w:rPr>
          <w:rFonts w:hint="eastAsia" w:ascii="仿宋" w:hAnsi="仿宋" w:eastAsia="仿宋" w:cs="仿宋"/>
          <w:sz w:val="24"/>
        </w:rPr>
        <w:t>日    期：XXXX。</w:t>
      </w:r>
    </w:p>
    <w:p w14:paraId="6006CDA3">
      <w:pPr>
        <w:pStyle w:val="2"/>
        <w:spacing w:line="520" w:lineRule="exact"/>
        <w:ind w:firstLine="480" w:firstLineChars="200"/>
        <w:rPr>
          <w:rFonts w:hint="eastAsia" w:ascii="仿宋" w:hAnsi="仿宋" w:eastAsia="仿宋" w:cs="仿宋"/>
          <w:sz w:val="24"/>
        </w:rPr>
      </w:pPr>
      <w:r>
        <w:rPr>
          <w:rFonts w:hint="eastAsia" w:ascii="仿宋" w:hAnsi="仿宋" w:eastAsia="仿宋" w:cs="仿宋"/>
          <w:sz w:val="24"/>
        </w:rPr>
        <w:t>法定代表人（单位负责人）有效期内的居民身份证正反面</w:t>
      </w:r>
    </w:p>
    <w:tbl>
      <w:tblPr>
        <w:tblStyle w:val="14"/>
        <w:tblW w:w="583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964"/>
        <w:gridCol w:w="2875"/>
      </w:tblGrid>
      <w:tr w14:paraId="59513AA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23" w:hRule="atLeast"/>
          <w:jc w:val="center"/>
        </w:trPr>
        <w:tc>
          <w:tcPr>
            <w:tcW w:w="2964" w:type="dxa"/>
          </w:tcPr>
          <w:p w14:paraId="000BC0E2">
            <w:pPr>
              <w:tabs>
                <w:tab w:val="left" w:pos="5580"/>
              </w:tabs>
              <w:spacing w:line="360" w:lineRule="auto"/>
              <w:jc w:val="left"/>
              <w:rPr>
                <w:rFonts w:hint="eastAsia" w:ascii="仿宋" w:hAnsi="仿宋" w:eastAsia="仿宋" w:cs="仿宋"/>
                <w:color w:val="000000"/>
                <w:sz w:val="24"/>
                <w:szCs w:val="20"/>
              </w:rPr>
            </w:pPr>
          </w:p>
        </w:tc>
        <w:tc>
          <w:tcPr>
            <w:tcW w:w="2875" w:type="dxa"/>
          </w:tcPr>
          <w:p w14:paraId="5DF34955">
            <w:pPr>
              <w:tabs>
                <w:tab w:val="left" w:pos="5580"/>
              </w:tabs>
              <w:spacing w:line="360" w:lineRule="auto"/>
              <w:jc w:val="left"/>
              <w:rPr>
                <w:rFonts w:hint="eastAsia" w:ascii="仿宋" w:hAnsi="仿宋" w:eastAsia="仿宋" w:cs="仿宋"/>
                <w:color w:val="000000"/>
                <w:sz w:val="24"/>
                <w:szCs w:val="20"/>
              </w:rPr>
            </w:pPr>
          </w:p>
        </w:tc>
      </w:tr>
    </w:tbl>
    <w:p w14:paraId="1C446BBE">
      <w:pPr>
        <w:pStyle w:val="2"/>
        <w:spacing w:line="360" w:lineRule="auto"/>
        <w:ind w:firstLine="720" w:firstLineChars="300"/>
        <w:rPr>
          <w:rFonts w:hint="eastAsia" w:ascii="仿宋" w:hAnsi="仿宋" w:eastAsia="仿宋" w:cs="仿宋"/>
          <w:sz w:val="24"/>
        </w:rPr>
      </w:pPr>
      <w:r>
        <w:rPr>
          <w:rFonts w:hint="eastAsia" w:ascii="仿宋" w:hAnsi="仿宋" w:eastAsia="仿宋" w:cs="仿宋"/>
          <w:sz w:val="24"/>
        </w:rPr>
        <w:t>授权代表（代理人）有效期内的居民身份证正反面</w:t>
      </w:r>
    </w:p>
    <w:tbl>
      <w:tblPr>
        <w:tblStyle w:val="14"/>
        <w:tblW w:w="583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964"/>
        <w:gridCol w:w="2875"/>
      </w:tblGrid>
      <w:tr w14:paraId="4A6F703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23" w:hRule="atLeast"/>
          <w:jc w:val="center"/>
        </w:trPr>
        <w:tc>
          <w:tcPr>
            <w:tcW w:w="2964" w:type="dxa"/>
          </w:tcPr>
          <w:p w14:paraId="07E625A7">
            <w:pPr>
              <w:tabs>
                <w:tab w:val="left" w:pos="5580"/>
              </w:tabs>
              <w:spacing w:line="360" w:lineRule="auto"/>
              <w:jc w:val="left"/>
              <w:rPr>
                <w:rFonts w:hint="eastAsia" w:ascii="仿宋" w:hAnsi="仿宋" w:eastAsia="仿宋" w:cs="仿宋"/>
                <w:color w:val="000000"/>
                <w:sz w:val="24"/>
                <w:szCs w:val="20"/>
              </w:rPr>
            </w:pPr>
          </w:p>
        </w:tc>
        <w:tc>
          <w:tcPr>
            <w:tcW w:w="2875" w:type="dxa"/>
          </w:tcPr>
          <w:p w14:paraId="233F320A">
            <w:pPr>
              <w:tabs>
                <w:tab w:val="left" w:pos="5580"/>
              </w:tabs>
              <w:spacing w:line="360" w:lineRule="auto"/>
              <w:jc w:val="left"/>
              <w:rPr>
                <w:rFonts w:hint="eastAsia" w:ascii="仿宋" w:hAnsi="仿宋" w:eastAsia="仿宋" w:cs="仿宋"/>
                <w:color w:val="000000"/>
                <w:sz w:val="24"/>
                <w:szCs w:val="20"/>
              </w:rPr>
            </w:pPr>
          </w:p>
        </w:tc>
      </w:tr>
    </w:tbl>
    <w:p w14:paraId="3030CBDE">
      <w:pPr>
        <w:spacing w:line="520" w:lineRule="atLeast"/>
        <w:ind w:firstLine="480" w:firstLineChars="200"/>
        <w:rPr>
          <w:rFonts w:hint="eastAsia" w:ascii="仿宋" w:hAnsi="仿宋" w:eastAsia="仿宋" w:cs="仿宋"/>
          <w:sz w:val="24"/>
        </w:rPr>
      </w:pPr>
      <w:r>
        <w:rPr>
          <w:rFonts w:hint="eastAsia" w:ascii="仿宋" w:hAnsi="仿宋" w:eastAsia="仿宋" w:cs="仿宋"/>
          <w:sz w:val="24"/>
        </w:rPr>
        <w:t>注：1.提供有效期内的身份证明材料，例如居民身份证或户口本或军官证或护照等；2.若提供居民身份证，须为正、反面复印件。</w:t>
      </w:r>
    </w:p>
    <w:p w14:paraId="5B09CDFA">
      <w:pPr>
        <w:widowControl/>
        <w:shd w:val="clear" w:color="auto" w:fill="FFFFFF"/>
        <w:wordWrap w:val="0"/>
        <w:spacing w:line="520" w:lineRule="atLeast"/>
        <w:ind w:left="480" w:firstLine="480" w:firstLineChars="200"/>
        <w:jc w:val="left"/>
        <w:rPr>
          <w:rFonts w:hint="eastAsia" w:ascii="仿宋" w:hAnsi="仿宋" w:eastAsia="仿宋" w:cs="仿宋"/>
          <w:kern w:val="0"/>
          <w:sz w:val="24"/>
        </w:rPr>
      </w:pPr>
      <w:r>
        <w:rPr>
          <w:rFonts w:hint="eastAsia" w:ascii="仿宋" w:hAnsi="仿宋" w:eastAsia="仿宋" w:cs="仿宋"/>
          <w:kern w:val="0"/>
          <w:sz w:val="24"/>
        </w:rPr>
        <w:t>★说明：上述证明文件附有法定代表人、被授权代表身份证复印件（双方签字并加盖公章）时才能生效。</w:t>
      </w:r>
    </w:p>
    <w:p w14:paraId="222FD0DB">
      <w:pPr>
        <w:widowControl/>
        <w:adjustRightInd w:val="0"/>
        <w:snapToGrid w:val="0"/>
        <w:spacing w:line="580" w:lineRule="exact"/>
        <w:jc w:val="left"/>
        <w:outlineLvl w:val="1"/>
        <w:rPr>
          <w:rFonts w:hint="eastAsia" w:ascii="仿宋" w:hAnsi="仿宋" w:eastAsia="仿宋" w:cs="仿宋"/>
          <w:b/>
          <w:bCs/>
          <w:sz w:val="24"/>
        </w:rPr>
      </w:pPr>
      <w:r>
        <w:rPr>
          <w:rFonts w:hint="eastAsia" w:ascii="仿宋" w:hAnsi="仿宋" w:eastAsia="仿宋" w:cs="仿宋"/>
          <w:b/>
          <w:bCs/>
          <w:sz w:val="24"/>
        </w:rPr>
        <w:br w:type="page"/>
      </w:r>
      <w:r>
        <w:rPr>
          <w:rFonts w:hint="eastAsia" w:ascii="仿宋" w:hAnsi="仿宋" w:eastAsia="仿宋" w:cs="仿宋"/>
          <w:sz w:val="28"/>
          <w:szCs w:val="32"/>
        </w:rPr>
        <w:t>附件5-6：法定代表人（单位负责人）身份证明</w:t>
      </w:r>
    </w:p>
    <w:p w14:paraId="1F6C1DA7">
      <w:pPr>
        <w:widowControl/>
        <w:spacing w:line="660" w:lineRule="exact"/>
        <w:jc w:val="center"/>
        <w:rPr>
          <w:rFonts w:hint="eastAsia" w:ascii="方正小标宋简体" w:hAnsi="仿宋" w:eastAsia="方正小标宋简体" w:cs="仿宋"/>
          <w:kern w:val="0"/>
          <w:sz w:val="44"/>
          <w:szCs w:val="44"/>
        </w:rPr>
      </w:pPr>
      <w:r>
        <w:rPr>
          <w:rFonts w:hint="eastAsia" w:ascii="方正小标宋简体" w:hAnsi="仿宋" w:eastAsia="方正小标宋简体" w:cs="仿宋"/>
          <w:kern w:val="0"/>
          <w:sz w:val="44"/>
          <w:szCs w:val="44"/>
        </w:rPr>
        <w:t>法定代表人（单位负责人）身份证明</w:t>
      </w:r>
    </w:p>
    <w:p w14:paraId="11BA5D12">
      <w:pPr>
        <w:pStyle w:val="12"/>
        <w:widowControl/>
        <w:spacing w:beforeAutospacing="0" w:afterAutospacing="0" w:line="520" w:lineRule="exact"/>
        <w:ind w:firstLine="480" w:firstLineChars="200"/>
        <w:jc w:val="center"/>
        <w:rPr>
          <w:rFonts w:hint="eastAsia" w:ascii="仿宋" w:hAnsi="仿宋" w:eastAsia="仿宋" w:cs="仿宋"/>
          <w:kern w:val="2"/>
          <w:szCs w:val="22"/>
        </w:rPr>
      </w:pPr>
      <w:r>
        <w:rPr>
          <w:rFonts w:hint="eastAsia" w:ascii="仿宋" w:hAnsi="仿宋" w:eastAsia="仿宋" w:cs="仿宋"/>
          <w:kern w:val="2"/>
          <w:szCs w:val="22"/>
        </w:rPr>
        <w:t>（若供应商代表为“法定代表人（单位负责人）”时，提供此证明）</w:t>
      </w:r>
    </w:p>
    <w:p w14:paraId="3591475E">
      <w:pPr>
        <w:widowControl/>
        <w:spacing w:line="360" w:lineRule="auto"/>
        <w:jc w:val="left"/>
        <w:rPr>
          <w:rFonts w:hint="eastAsia" w:ascii="仿宋" w:hAnsi="仿宋" w:eastAsia="仿宋" w:cs="仿宋"/>
          <w:sz w:val="24"/>
        </w:rPr>
      </w:pPr>
    </w:p>
    <w:p w14:paraId="216BB419">
      <w:pPr>
        <w:widowControl/>
        <w:spacing w:line="520" w:lineRule="exact"/>
        <w:jc w:val="left"/>
        <w:rPr>
          <w:rFonts w:hint="eastAsia" w:ascii="仿宋" w:hAnsi="仿宋" w:eastAsia="仿宋" w:cs="仿宋"/>
          <w:sz w:val="24"/>
          <w:u w:val="single"/>
        </w:rPr>
      </w:pPr>
      <w:r>
        <w:rPr>
          <w:rFonts w:hint="eastAsia" w:ascii="仿宋" w:hAnsi="仿宋" w:eastAsia="仿宋" w:cs="仿宋"/>
          <w:sz w:val="24"/>
        </w:rPr>
        <w:t>四川省妇幼保健院：</w:t>
      </w:r>
    </w:p>
    <w:p w14:paraId="3BE8D97B">
      <w:pPr>
        <w:pStyle w:val="2"/>
        <w:spacing w:line="520" w:lineRule="exact"/>
        <w:ind w:firstLine="720" w:firstLineChars="300"/>
        <w:rPr>
          <w:rFonts w:hint="eastAsia" w:ascii="仿宋" w:hAnsi="仿宋" w:eastAsia="仿宋" w:cs="仿宋"/>
          <w:sz w:val="24"/>
        </w:rPr>
      </w:pPr>
      <w:r>
        <w:rPr>
          <w:rFonts w:hint="eastAsia" w:ascii="仿宋" w:hAnsi="仿宋" w:eastAsia="仿宋" w:cs="仿宋"/>
          <w:sz w:val="24"/>
          <w:u w:val="single"/>
        </w:rPr>
        <w:t xml:space="preserve">       </w:t>
      </w:r>
      <w:r>
        <w:rPr>
          <w:rFonts w:hint="eastAsia" w:ascii="仿宋" w:hAnsi="仿宋" w:eastAsia="仿宋" w:cs="仿宋"/>
          <w:sz w:val="24"/>
        </w:rPr>
        <w:t>（姓名）系</w:t>
      </w:r>
      <w:r>
        <w:rPr>
          <w:rFonts w:hint="eastAsia" w:ascii="仿宋" w:hAnsi="仿宋" w:eastAsia="仿宋" w:cs="仿宋"/>
          <w:sz w:val="24"/>
          <w:u w:val="single"/>
        </w:rPr>
        <w:t xml:space="preserve">      </w:t>
      </w:r>
      <w:r>
        <w:rPr>
          <w:rFonts w:hint="eastAsia" w:ascii="仿宋" w:hAnsi="仿宋" w:eastAsia="仿宋" w:cs="仿宋"/>
          <w:sz w:val="24"/>
        </w:rPr>
        <w:t>（供应商名称）的法定代表人（单位负责人）（职务</w:t>
      </w:r>
      <w:r>
        <w:rPr>
          <w:rFonts w:hint="eastAsia" w:ascii="仿宋" w:hAnsi="仿宋" w:eastAsia="仿宋" w:cs="仿宋"/>
          <w:sz w:val="24"/>
          <w:u w:val="single"/>
        </w:rPr>
        <w:t xml:space="preserve">       </w:t>
      </w:r>
      <w:r>
        <w:rPr>
          <w:rFonts w:hint="eastAsia" w:ascii="仿宋" w:hAnsi="仿宋" w:eastAsia="仿宋" w:cs="仿宋"/>
          <w:sz w:val="24"/>
        </w:rPr>
        <w:t>）。</w:t>
      </w:r>
    </w:p>
    <w:p w14:paraId="6EEC1893">
      <w:pPr>
        <w:pStyle w:val="2"/>
        <w:spacing w:line="520" w:lineRule="exact"/>
        <w:ind w:firstLine="720" w:firstLineChars="300"/>
        <w:rPr>
          <w:rFonts w:hint="eastAsia" w:ascii="仿宋" w:hAnsi="仿宋" w:eastAsia="仿宋" w:cs="仿宋"/>
          <w:sz w:val="24"/>
        </w:rPr>
      </w:pPr>
      <w:r>
        <w:rPr>
          <w:rFonts w:hint="eastAsia" w:ascii="仿宋" w:hAnsi="仿宋" w:eastAsia="仿宋" w:cs="仿宋"/>
          <w:sz w:val="24"/>
        </w:rPr>
        <w:t>特此证明。</w:t>
      </w:r>
    </w:p>
    <w:p w14:paraId="7277B7E2">
      <w:pPr>
        <w:pStyle w:val="12"/>
        <w:widowControl/>
        <w:spacing w:beforeAutospacing="0" w:afterAutospacing="0" w:line="520" w:lineRule="exact"/>
        <w:rPr>
          <w:rFonts w:hint="eastAsia" w:ascii="仿宋" w:hAnsi="仿宋" w:eastAsia="仿宋" w:cs="仿宋"/>
        </w:rPr>
      </w:pPr>
    </w:p>
    <w:p w14:paraId="75D65C4C">
      <w:pPr>
        <w:pStyle w:val="2"/>
        <w:spacing w:line="520" w:lineRule="exact"/>
        <w:ind w:firstLine="720" w:firstLineChars="300"/>
        <w:rPr>
          <w:rFonts w:hint="eastAsia" w:ascii="仿宋" w:hAnsi="仿宋" w:eastAsia="仿宋" w:cs="仿宋"/>
          <w:sz w:val="24"/>
        </w:rPr>
      </w:pPr>
      <w:r>
        <w:rPr>
          <w:rFonts w:hint="eastAsia" w:ascii="仿宋" w:hAnsi="仿宋" w:eastAsia="仿宋" w:cs="仿宋"/>
          <w:sz w:val="24"/>
        </w:rPr>
        <w:t>供应商名称：XXXX（盖单位公章）</w:t>
      </w:r>
    </w:p>
    <w:p w14:paraId="3B9FD1E9">
      <w:pPr>
        <w:pStyle w:val="2"/>
        <w:spacing w:line="520" w:lineRule="exact"/>
        <w:ind w:firstLine="720" w:firstLineChars="300"/>
        <w:rPr>
          <w:rFonts w:hint="eastAsia" w:ascii="仿宋" w:hAnsi="仿宋" w:eastAsia="仿宋" w:cs="仿宋"/>
          <w:sz w:val="24"/>
        </w:rPr>
      </w:pPr>
      <w:r>
        <w:rPr>
          <w:rFonts w:hint="eastAsia" w:ascii="仿宋" w:hAnsi="仿宋" w:eastAsia="仿宋" w:cs="仿宋"/>
          <w:sz w:val="24"/>
        </w:rPr>
        <w:t>法定代表人（单位负责人）（签字或加盖个人名章）：XXXX。</w:t>
      </w:r>
    </w:p>
    <w:p w14:paraId="7D44ACAF">
      <w:pPr>
        <w:pStyle w:val="2"/>
        <w:spacing w:line="520" w:lineRule="exact"/>
        <w:ind w:firstLine="720" w:firstLineChars="300"/>
        <w:rPr>
          <w:rFonts w:hint="eastAsia" w:ascii="仿宋" w:hAnsi="仿宋" w:eastAsia="仿宋" w:cs="仿宋"/>
          <w:sz w:val="24"/>
        </w:rPr>
      </w:pPr>
      <w:r>
        <w:rPr>
          <w:rFonts w:hint="eastAsia" w:ascii="仿宋" w:hAnsi="仿宋" w:eastAsia="仿宋" w:cs="仿宋"/>
          <w:sz w:val="24"/>
        </w:rPr>
        <w:t>日    期：XXXX。</w:t>
      </w:r>
    </w:p>
    <w:p w14:paraId="4EA1BBFF">
      <w:pPr>
        <w:pStyle w:val="12"/>
        <w:widowControl/>
        <w:spacing w:beforeAutospacing="0" w:afterAutospacing="0" w:line="520" w:lineRule="exact"/>
        <w:ind w:firstLine="480" w:firstLineChars="200"/>
        <w:rPr>
          <w:rFonts w:hint="eastAsia" w:ascii="仿宋" w:hAnsi="仿宋" w:eastAsia="仿宋" w:cs="仿宋"/>
        </w:rPr>
      </w:pPr>
    </w:p>
    <w:p w14:paraId="2DB5FA62">
      <w:pPr>
        <w:pStyle w:val="2"/>
        <w:spacing w:line="520" w:lineRule="exact"/>
        <w:ind w:firstLine="720" w:firstLineChars="300"/>
        <w:rPr>
          <w:rFonts w:hint="eastAsia" w:ascii="仿宋" w:hAnsi="仿宋" w:eastAsia="仿宋" w:cs="仿宋"/>
          <w:sz w:val="24"/>
        </w:rPr>
      </w:pPr>
      <w:r>
        <w:rPr>
          <w:rFonts w:hint="eastAsia" w:ascii="仿宋" w:hAnsi="仿宋" w:eastAsia="仿宋" w:cs="仿宋"/>
          <w:sz w:val="24"/>
        </w:rPr>
        <w:t>法定代表人（单位负责人）有效期内的居民身份证正反面</w:t>
      </w:r>
    </w:p>
    <w:tbl>
      <w:tblPr>
        <w:tblStyle w:val="14"/>
        <w:tblW w:w="689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3501"/>
        <w:gridCol w:w="3398"/>
      </w:tblGrid>
      <w:tr w14:paraId="539B3B3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53" w:hRule="atLeast"/>
          <w:jc w:val="center"/>
        </w:trPr>
        <w:tc>
          <w:tcPr>
            <w:tcW w:w="3501" w:type="dxa"/>
          </w:tcPr>
          <w:p w14:paraId="395345C9">
            <w:pPr>
              <w:tabs>
                <w:tab w:val="left" w:pos="5580"/>
              </w:tabs>
              <w:spacing w:line="360" w:lineRule="auto"/>
              <w:jc w:val="left"/>
              <w:rPr>
                <w:rFonts w:hint="eastAsia" w:ascii="仿宋" w:hAnsi="仿宋" w:eastAsia="仿宋" w:cs="仿宋"/>
                <w:color w:val="000000"/>
                <w:sz w:val="24"/>
                <w:szCs w:val="20"/>
              </w:rPr>
            </w:pPr>
          </w:p>
        </w:tc>
        <w:tc>
          <w:tcPr>
            <w:tcW w:w="3398" w:type="dxa"/>
          </w:tcPr>
          <w:p w14:paraId="4AA91519">
            <w:pPr>
              <w:tabs>
                <w:tab w:val="left" w:pos="5580"/>
              </w:tabs>
              <w:spacing w:line="360" w:lineRule="auto"/>
              <w:jc w:val="left"/>
              <w:rPr>
                <w:rFonts w:hint="eastAsia" w:ascii="仿宋" w:hAnsi="仿宋" w:eastAsia="仿宋" w:cs="仿宋"/>
                <w:color w:val="000000"/>
                <w:sz w:val="24"/>
                <w:szCs w:val="20"/>
              </w:rPr>
            </w:pPr>
          </w:p>
        </w:tc>
      </w:tr>
    </w:tbl>
    <w:p w14:paraId="053AC236">
      <w:pPr>
        <w:pStyle w:val="12"/>
        <w:widowControl/>
        <w:spacing w:beforeAutospacing="0" w:afterAutospacing="0" w:line="360" w:lineRule="auto"/>
        <w:ind w:firstLine="482" w:firstLineChars="200"/>
        <w:rPr>
          <w:rFonts w:hint="eastAsia" w:ascii="仿宋" w:hAnsi="仿宋" w:eastAsia="仿宋" w:cs="仿宋"/>
          <w:b/>
          <w:bCs/>
        </w:rPr>
      </w:pPr>
    </w:p>
    <w:p w14:paraId="3A394B50">
      <w:pPr>
        <w:rPr>
          <w:rFonts w:hint="eastAsia" w:ascii="仿宋" w:hAnsi="仿宋" w:eastAsia="仿宋" w:cs="仿宋"/>
          <w:b/>
          <w:bCs/>
          <w:kern w:val="0"/>
          <w:sz w:val="24"/>
        </w:rPr>
      </w:pPr>
      <w:r>
        <w:rPr>
          <w:rFonts w:hint="eastAsia" w:ascii="仿宋" w:hAnsi="仿宋" w:eastAsia="仿宋" w:cs="仿宋"/>
          <w:sz w:val="24"/>
        </w:rPr>
        <w:t>注：1.提供有效期内的身份证明材料，例如居民身份证或户口本或军官证或护照等；2.若提供居民身份证，须为正、反面复印件。</w:t>
      </w:r>
    </w:p>
    <w:p w14:paraId="430B10A8">
      <w:pPr>
        <w:pStyle w:val="2"/>
        <w:rPr>
          <w:rFonts w:hint="eastAsia" w:ascii="仿宋" w:hAnsi="仿宋" w:eastAsia="仿宋" w:cs="仿宋"/>
        </w:rPr>
      </w:pPr>
    </w:p>
    <w:p w14:paraId="1A8AD9A5">
      <w:pPr>
        <w:rPr>
          <w:rFonts w:hint="eastAsia" w:ascii="仿宋" w:hAnsi="仿宋" w:eastAsia="仿宋" w:cs="仿宋"/>
          <w:b/>
          <w:bCs/>
          <w:kern w:val="0"/>
          <w:sz w:val="24"/>
        </w:rPr>
      </w:pPr>
      <w:r>
        <w:rPr>
          <w:rFonts w:hint="eastAsia" w:ascii="仿宋" w:hAnsi="仿宋" w:eastAsia="仿宋" w:cs="仿宋"/>
          <w:b/>
          <w:bCs/>
          <w:kern w:val="0"/>
          <w:sz w:val="24"/>
        </w:rPr>
        <w:br w:type="page"/>
      </w:r>
    </w:p>
    <w:p w14:paraId="5BCC55E6">
      <w:pPr>
        <w:widowControl/>
        <w:adjustRightInd w:val="0"/>
        <w:snapToGrid w:val="0"/>
        <w:spacing w:line="580" w:lineRule="exact"/>
        <w:jc w:val="left"/>
        <w:outlineLvl w:val="1"/>
        <w:rPr>
          <w:rFonts w:hint="eastAsia" w:ascii="仿宋" w:hAnsi="仿宋" w:eastAsia="仿宋" w:cs="仿宋"/>
          <w:sz w:val="28"/>
          <w:szCs w:val="32"/>
        </w:rPr>
      </w:pPr>
      <w:r>
        <w:rPr>
          <w:rFonts w:hint="eastAsia" w:ascii="仿宋" w:hAnsi="仿宋" w:eastAsia="仿宋" w:cs="仿宋"/>
          <w:sz w:val="28"/>
          <w:szCs w:val="32"/>
        </w:rPr>
        <w:t>附件5-7：承诺函</w:t>
      </w:r>
    </w:p>
    <w:p w14:paraId="490832EB">
      <w:pPr>
        <w:widowControl/>
        <w:spacing w:line="660" w:lineRule="exact"/>
        <w:jc w:val="center"/>
        <w:rPr>
          <w:rFonts w:hint="eastAsia" w:ascii="方正小标宋简体" w:hAnsi="仿宋" w:eastAsia="方正小标宋简体" w:cs="仿宋"/>
          <w:kern w:val="0"/>
          <w:sz w:val="44"/>
          <w:szCs w:val="44"/>
        </w:rPr>
      </w:pPr>
      <w:r>
        <w:rPr>
          <w:rFonts w:hint="eastAsia" w:ascii="方正小标宋简体" w:hAnsi="仿宋" w:eastAsia="方正小标宋简体" w:cs="仿宋"/>
          <w:kern w:val="0"/>
          <w:sz w:val="44"/>
          <w:szCs w:val="44"/>
        </w:rPr>
        <w:t>承诺函</w:t>
      </w:r>
    </w:p>
    <w:p w14:paraId="5A963D75">
      <w:pPr>
        <w:spacing w:line="520" w:lineRule="atLeast"/>
        <w:rPr>
          <w:rFonts w:hint="eastAsia" w:ascii="仿宋" w:hAnsi="仿宋" w:eastAsia="仿宋" w:cs="仿宋"/>
          <w:sz w:val="24"/>
        </w:rPr>
      </w:pPr>
      <w:r>
        <w:rPr>
          <w:rFonts w:hint="eastAsia" w:ascii="仿宋" w:hAnsi="仿宋" w:eastAsia="仿宋" w:cs="仿宋"/>
          <w:sz w:val="24"/>
        </w:rPr>
        <w:t>四川省妇幼保健院：</w:t>
      </w:r>
    </w:p>
    <w:p w14:paraId="50C09469">
      <w:pPr>
        <w:spacing w:line="520" w:lineRule="atLeast"/>
        <w:ind w:firstLine="480" w:firstLineChars="200"/>
        <w:rPr>
          <w:rFonts w:hint="eastAsia" w:ascii="仿宋" w:hAnsi="仿宋" w:eastAsia="仿宋" w:cs="仿宋"/>
          <w:sz w:val="24"/>
        </w:rPr>
      </w:pPr>
      <w:r>
        <w:rPr>
          <w:rFonts w:hint="eastAsia" w:ascii="仿宋" w:hAnsi="仿宋" w:eastAsia="仿宋" w:cs="仿宋"/>
          <w:sz w:val="24"/>
        </w:rPr>
        <w:t>本供应商</w:t>
      </w:r>
      <w:r>
        <w:rPr>
          <w:rFonts w:hint="eastAsia" w:ascii="仿宋" w:hAnsi="仿宋" w:eastAsia="仿宋" w:cs="仿宋"/>
          <w:sz w:val="24"/>
          <w:u w:val="single"/>
        </w:rPr>
        <w:t xml:space="preserve">      （供应商全称）        </w:t>
      </w:r>
      <w:r>
        <w:rPr>
          <w:rFonts w:hint="eastAsia" w:ascii="仿宋" w:hAnsi="仿宋" w:eastAsia="仿宋" w:cs="仿宋"/>
          <w:sz w:val="24"/>
        </w:rPr>
        <w:t>参加</w:t>
      </w:r>
      <w:r>
        <w:rPr>
          <w:rFonts w:hint="eastAsia" w:ascii="仿宋" w:hAnsi="仿宋" w:eastAsia="仿宋" w:cs="仿宋"/>
          <w:sz w:val="24"/>
          <w:u w:val="single"/>
        </w:rPr>
        <w:t xml:space="preserve">       </w:t>
      </w:r>
      <w:r>
        <w:rPr>
          <w:rFonts w:hint="eastAsia" w:ascii="仿宋" w:hAnsi="仿宋" w:eastAsia="仿宋" w:cs="仿宋"/>
          <w:sz w:val="24"/>
        </w:rPr>
        <w:t>（项目编号</w:t>
      </w:r>
      <w:r>
        <w:rPr>
          <w:rFonts w:hint="eastAsia" w:ascii="仿宋" w:hAnsi="仿宋" w:eastAsia="仿宋" w:cs="仿宋"/>
          <w:sz w:val="24"/>
          <w:u w:val="single"/>
        </w:rPr>
        <w:t xml:space="preserve">            </w:t>
      </w:r>
      <w:r>
        <w:rPr>
          <w:rFonts w:hint="eastAsia" w:ascii="仿宋" w:hAnsi="仿宋" w:eastAsia="仿宋" w:cs="仿宋"/>
          <w:sz w:val="24"/>
        </w:rPr>
        <w:t>）的磋商活动，现郑重承诺：</w:t>
      </w:r>
    </w:p>
    <w:p w14:paraId="070A50FF">
      <w:pPr>
        <w:spacing w:line="520" w:lineRule="atLeast"/>
        <w:ind w:firstLine="480" w:firstLineChars="200"/>
        <w:rPr>
          <w:rFonts w:hint="eastAsia" w:ascii="仿宋" w:hAnsi="仿宋" w:eastAsia="仿宋" w:cs="仿宋"/>
          <w:sz w:val="24"/>
        </w:rPr>
      </w:pPr>
      <w:r>
        <w:rPr>
          <w:rFonts w:hint="eastAsia" w:ascii="仿宋" w:hAnsi="仿宋" w:eastAsia="仿宋" w:cs="仿宋"/>
          <w:sz w:val="24"/>
        </w:rPr>
        <w:t>一、具备本项目规定的条件：</w:t>
      </w:r>
    </w:p>
    <w:p w14:paraId="31D1F9BD">
      <w:pPr>
        <w:spacing w:line="520" w:lineRule="atLeast"/>
        <w:ind w:firstLine="480" w:firstLineChars="200"/>
        <w:rPr>
          <w:rFonts w:hint="eastAsia" w:ascii="仿宋" w:hAnsi="仿宋" w:eastAsia="仿宋" w:cs="仿宋"/>
          <w:sz w:val="24"/>
        </w:rPr>
      </w:pPr>
      <w:r>
        <w:rPr>
          <w:rFonts w:hint="eastAsia" w:ascii="仿宋" w:hAnsi="仿宋" w:eastAsia="仿宋" w:cs="仿宋"/>
          <w:sz w:val="24"/>
        </w:rPr>
        <w:t xml:space="preserve">（一）具有独立承担民事责任的能力； </w:t>
      </w:r>
    </w:p>
    <w:p w14:paraId="5F669CDA">
      <w:pPr>
        <w:spacing w:line="520" w:lineRule="atLeast"/>
        <w:ind w:firstLine="480" w:firstLineChars="200"/>
        <w:rPr>
          <w:rFonts w:hint="eastAsia" w:ascii="仿宋" w:hAnsi="仿宋" w:eastAsia="仿宋" w:cs="仿宋"/>
          <w:sz w:val="24"/>
        </w:rPr>
      </w:pPr>
      <w:r>
        <w:rPr>
          <w:rFonts w:hint="eastAsia" w:ascii="仿宋" w:hAnsi="仿宋" w:eastAsia="仿宋" w:cs="仿宋"/>
          <w:sz w:val="24"/>
        </w:rPr>
        <w:t xml:space="preserve">（二）具有良好的商业信誉和健全的财务会计制度； </w:t>
      </w:r>
    </w:p>
    <w:p w14:paraId="7E9C4530">
      <w:pPr>
        <w:spacing w:line="520" w:lineRule="atLeast"/>
        <w:ind w:firstLine="480" w:firstLineChars="200"/>
        <w:rPr>
          <w:rFonts w:hint="eastAsia" w:ascii="仿宋" w:hAnsi="仿宋" w:eastAsia="仿宋" w:cs="仿宋"/>
          <w:sz w:val="24"/>
        </w:rPr>
      </w:pPr>
      <w:r>
        <w:rPr>
          <w:rFonts w:hint="eastAsia" w:ascii="仿宋" w:hAnsi="仿宋" w:eastAsia="仿宋" w:cs="仿宋"/>
          <w:sz w:val="24"/>
        </w:rPr>
        <w:t xml:space="preserve">（三）具有履行合同所必需的设备和专业技术能力； </w:t>
      </w:r>
    </w:p>
    <w:p w14:paraId="4C173527">
      <w:pPr>
        <w:spacing w:line="520" w:lineRule="atLeast"/>
        <w:ind w:firstLine="480" w:firstLineChars="200"/>
        <w:rPr>
          <w:rFonts w:hint="eastAsia" w:ascii="仿宋" w:hAnsi="仿宋" w:eastAsia="仿宋" w:cs="仿宋"/>
          <w:sz w:val="24"/>
        </w:rPr>
      </w:pPr>
      <w:r>
        <w:rPr>
          <w:rFonts w:hint="eastAsia" w:ascii="仿宋" w:hAnsi="仿宋" w:eastAsia="仿宋" w:cs="仿宋"/>
          <w:sz w:val="24"/>
        </w:rPr>
        <w:t xml:space="preserve">（四）有依法缴纳税收和社会保障资金的良好记录； </w:t>
      </w:r>
    </w:p>
    <w:p w14:paraId="315EF69B">
      <w:pPr>
        <w:spacing w:line="520" w:lineRule="atLeast"/>
        <w:ind w:firstLine="480" w:firstLineChars="200"/>
        <w:rPr>
          <w:rFonts w:hint="eastAsia" w:ascii="仿宋" w:hAnsi="仿宋" w:eastAsia="仿宋" w:cs="仿宋"/>
          <w:sz w:val="24"/>
        </w:rPr>
      </w:pPr>
      <w:r>
        <w:rPr>
          <w:rFonts w:hint="eastAsia" w:ascii="仿宋" w:hAnsi="仿宋" w:eastAsia="仿宋" w:cs="仿宋"/>
          <w:sz w:val="24"/>
        </w:rPr>
        <w:t>（五）参加采购活动前三年内，在经营活动中没有重大违法记录；</w:t>
      </w:r>
    </w:p>
    <w:p w14:paraId="23275F31">
      <w:pPr>
        <w:spacing w:line="520" w:lineRule="atLeast"/>
        <w:ind w:firstLine="480" w:firstLineChars="200"/>
        <w:rPr>
          <w:rFonts w:hint="eastAsia" w:ascii="仿宋" w:hAnsi="仿宋" w:eastAsia="仿宋" w:cs="仿宋"/>
          <w:sz w:val="24"/>
        </w:rPr>
      </w:pPr>
      <w:r>
        <w:rPr>
          <w:rFonts w:hint="eastAsia" w:ascii="仿宋" w:hAnsi="仿宋" w:eastAsia="仿宋" w:cs="仿宋"/>
          <w:sz w:val="24"/>
        </w:rPr>
        <w:t>（六）法律、行政法规规定的其他条件；</w:t>
      </w:r>
    </w:p>
    <w:p w14:paraId="387BAE32">
      <w:pPr>
        <w:spacing w:line="520" w:lineRule="atLeast"/>
        <w:ind w:firstLine="480" w:firstLineChars="200"/>
        <w:rPr>
          <w:rFonts w:hint="eastAsia" w:ascii="仿宋" w:hAnsi="仿宋" w:eastAsia="仿宋" w:cs="仿宋"/>
          <w:sz w:val="24"/>
        </w:rPr>
      </w:pPr>
      <w:r>
        <w:rPr>
          <w:rFonts w:hint="eastAsia" w:ascii="仿宋" w:hAnsi="仿宋" w:eastAsia="仿宋" w:cs="仿宋"/>
          <w:sz w:val="24"/>
        </w:rPr>
        <w:t>二、完全接受和满足本项目磋商文件中规定的实质性要求，如对磋商文件有异议，已经在磋商截止时间届满前依法进行维权救济，不存在对磋商文件有异议的同时又参加磋商以求侥幸成交或者为实现其他非法目的的行为。承诺成交后签订合同前按采购人要求提交技术参数相关佐证材料。</w:t>
      </w:r>
    </w:p>
    <w:p w14:paraId="7BD6945E">
      <w:pPr>
        <w:spacing w:line="520" w:lineRule="atLeast"/>
        <w:ind w:firstLine="480" w:firstLineChars="200"/>
        <w:rPr>
          <w:rFonts w:hint="eastAsia" w:ascii="仿宋" w:hAnsi="仿宋" w:eastAsia="仿宋" w:cs="仿宋"/>
          <w:sz w:val="24"/>
        </w:rPr>
      </w:pPr>
      <w:r>
        <w:rPr>
          <w:rFonts w:hint="eastAsia" w:ascii="仿宋" w:hAnsi="仿宋" w:eastAsia="仿宋" w:cs="仿宋"/>
          <w:sz w:val="24"/>
        </w:rPr>
        <w:t>三、参加本次磋商采购活动，不存在与单位负责人为同一人或者存在直接控股、管理关系的其他供应商参与同一合同项下的采购活动的行为。本单位未参与本采购项目前期咨询论证，不属于禁止参加本项目磋商的供应商。</w:t>
      </w:r>
    </w:p>
    <w:p w14:paraId="7206E30A">
      <w:pPr>
        <w:spacing w:line="520" w:lineRule="atLeast"/>
        <w:ind w:firstLine="480" w:firstLineChars="200"/>
        <w:rPr>
          <w:rFonts w:hint="eastAsia" w:ascii="仿宋" w:hAnsi="仿宋" w:eastAsia="仿宋" w:cs="仿宋"/>
          <w:sz w:val="24"/>
        </w:rPr>
      </w:pPr>
      <w:r>
        <w:rPr>
          <w:rFonts w:hint="eastAsia" w:ascii="仿宋" w:hAnsi="仿宋" w:eastAsia="仿宋" w:cs="仿宋"/>
          <w:sz w:val="24"/>
        </w:rPr>
        <w:t>四、参加本次磋商采购活动，不存在和其他供应商在同一合同项下的采购项目中，同时委托同一个自然人、同一家庭的人员、同一单位的人员作为代理人的行为。</w:t>
      </w:r>
    </w:p>
    <w:p w14:paraId="0D40F172">
      <w:pPr>
        <w:spacing w:line="520" w:lineRule="atLeast"/>
        <w:ind w:firstLine="480" w:firstLineChars="200"/>
        <w:rPr>
          <w:rFonts w:hint="eastAsia" w:ascii="仿宋" w:hAnsi="仿宋" w:eastAsia="仿宋" w:cs="仿宋"/>
          <w:sz w:val="24"/>
        </w:rPr>
      </w:pPr>
      <w:r>
        <w:rPr>
          <w:rFonts w:hint="eastAsia" w:ascii="仿宋" w:hAnsi="仿宋" w:eastAsia="仿宋" w:cs="仿宋"/>
          <w:sz w:val="24"/>
        </w:rPr>
        <w:t>五、本单位未被对列入按财库[2016]125号规定的失信被执行人、重大税收违法案件当事人名单、政府采购严重违法失信行为记录名单及其他不符合《中华人民共和国政府采购法》第二十二条规定条件的供应商。</w:t>
      </w:r>
    </w:p>
    <w:p w14:paraId="0F7B4ACE">
      <w:pPr>
        <w:spacing w:line="520" w:lineRule="atLeast"/>
        <w:ind w:firstLine="480" w:firstLineChars="200"/>
        <w:rPr>
          <w:rFonts w:hint="eastAsia" w:ascii="仿宋" w:hAnsi="仿宋" w:eastAsia="仿宋" w:cs="仿宋"/>
          <w:sz w:val="24"/>
        </w:rPr>
      </w:pPr>
      <w:r>
        <w:rPr>
          <w:rFonts w:hint="eastAsia" w:ascii="仿宋" w:hAnsi="仿宋" w:eastAsia="仿宋" w:cs="仿宋"/>
          <w:sz w:val="24"/>
        </w:rPr>
        <w:t>六、国家或行业主管部门对采购产品的技术标准、质量标准和资格资质条件等有强制性规定的，我方承诺符合其要求。</w:t>
      </w:r>
    </w:p>
    <w:p w14:paraId="07F170A5">
      <w:pPr>
        <w:spacing w:line="520" w:lineRule="atLeast"/>
        <w:ind w:firstLine="480" w:firstLineChars="200"/>
        <w:rPr>
          <w:rFonts w:hint="eastAsia" w:ascii="仿宋" w:hAnsi="仿宋" w:eastAsia="仿宋" w:cs="仿宋"/>
          <w:sz w:val="24"/>
        </w:rPr>
      </w:pPr>
      <w:r>
        <w:rPr>
          <w:rFonts w:hint="eastAsia" w:ascii="仿宋" w:hAnsi="仿宋" w:eastAsia="仿宋" w:cs="仿宋"/>
          <w:sz w:val="24"/>
        </w:rPr>
        <w:t>本公司对上述承诺的内容事项真实性负责。如经查实上述承诺的内容事项存在虚假，本单位愿意接受以提供虚假材料谋取成交追究法律责任。</w:t>
      </w:r>
      <w:r>
        <w:rPr>
          <w:rFonts w:hint="eastAsia" w:ascii="仿宋" w:hAnsi="仿宋" w:eastAsia="仿宋" w:cs="仿宋"/>
          <w:sz w:val="24"/>
        </w:rPr>
        <w:tab/>
      </w:r>
      <w:r>
        <w:rPr>
          <w:rFonts w:hint="eastAsia" w:ascii="仿宋" w:hAnsi="仿宋" w:eastAsia="仿宋" w:cs="仿宋"/>
          <w:sz w:val="24"/>
        </w:rPr>
        <w:tab/>
      </w:r>
    </w:p>
    <w:p w14:paraId="547B1912">
      <w:pPr>
        <w:adjustRightInd w:val="0"/>
        <w:snapToGrid w:val="0"/>
        <w:spacing w:line="520" w:lineRule="atLeast"/>
        <w:ind w:firstLine="480" w:firstLineChars="200"/>
        <w:rPr>
          <w:rFonts w:hint="eastAsia" w:ascii="仿宋" w:hAnsi="仿宋" w:eastAsia="仿宋" w:cs="仿宋"/>
          <w:sz w:val="24"/>
        </w:rPr>
      </w:pPr>
    </w:p>
    <w:p w14:paraId="117DAB0C">
      <w:pPr>
        <w:spacing w:line="520" w:lineRule="atLeast"/>
        <w:ind w:firstLine="480" w:firstLineChars="200"/>
        <w:rPr>
          <w:rFonts w:hint="eastAsia" w:ascii="仿宋" w:hAnsi="仿宋" w:eastAsia="仿宋" w:cs="仿宋"/>
          <w:sz w:val="24"/>
        </w:rPr>
      </w:pPr>
      <w:r>
        <w:rPr>
          <w:rFonts w:hint="eastAsia" w:ascii="仿宋" w:hAnsi="仿宋" w:eastAsia="仿宋" w:cs="仿宋"/>
          <w:sz w:val="24"/>
        </w:rPr>
        <w:t>供应商名称：        （盖章）</w:t>
      </w:r>
    </w:p>
    <w:p w14:paraId="1D17A73B">
      <w:pPr>
        <w:spacing w:line="520" w:lineRule="atLeast"/>
        <w:ind w:firstLine="480" w:firstLineChars="200"/>
        <w:rPr>
          <w:rFonts w:hint="eastAsia" w:ascii="仿宋" w:hAnsi="仿宋" w:eastAsia="仿宋" w:cs="仿宋"/>
          <w:sz w:val="24"/>
        </w:rPr>
      </w:pPr>
      <w:r>
        <w:rPr>
          <w:rFonts w:hint="eastAsia" w:ascii="仿宋" w:hAnsi="仿宋" w:eastAsia="仿宋" w:cs="仿宋"/>
          <w:sz w:val="24"/>
        </w:rPr>
        <w:t>法定代表人或授权代表（</w:t>
      </w:r>
      <w:r>
        <w:rPr>
          <w:rFonts w:hint="eastAsia" w:ascii="仿宋" w:hAnsi="仿宋" w:eastAsia="仿宋" w:cs="仿宋"/>
          <w:sz w:val="24"/>
          <w:u w:val="single"/>
        </w:rPr>
        <w:t>签字或盖章</w:t>
      </w:r>
      <w:r>
        <w:rPr>
          <w:rFonts w:hint="eastAsia" w:ascii="仿宋" w:hAnsi="仿宋" w:eastAsia="仿宋" w:cs="仿宋"/>
          <w:sz w:val="24"/>
        </w:rPr>
        <w:t>）：</w:t>
      </w:r>
    </w:p>
    <w:p w14:paraId="2F773AEE">
      <w:pPr>
        <w:spacing w:line="520" w:lineRule="atLeast"/>
        <w:ind w:firstLine="480" w:firstLineChars="200"/>
        <w:rPr>
          <w:rFonts w:hint="eastAsia" w:ascii="仿宋" w:hAnsi="仿宋" w:eastAsia="仿宋" w:cs="仿宋"/>
          <w:sz w:val="24"/>
        </w:rPr>
      </w:pPr>
      <w:r>
        <w:rPr>
          <w:rFonts w:hint="eastAsia" w:ascii="仿宋" w:hAnsi="仿宋" w:eastAsia="仿宋" w:cs="仿宋"/>
          <w:sz w:val="24"/>
        </w:rPr>
        <w:t>日 期：</w:t>
      </w:r>
    </w:p>
    <w:p w14:paraId="0C1C94A8">
      <w:pPr>
        <w:pStyle w:val="9"/>
        <w:spacing w:line="520" w:lineRule="atLeast"/>
        <w:rPr>
          <w:rFonts w:hint="eastAsia" w:ascii="仿宋" w:hAnsi="仿宋" w:eastAsia="仿宋" w:cs="仿宋"/>
        </w:rPr>
        <w:sectPr>
          <w:pgSz w:w="11906" w:h="16838"/>
          <w:pgMar w:top="1440" w:right="1800" w:bottom="1440" w:left="1800" w:header="851" w:footer="992" w:gutter="0"/>
          <w:cols w:space="425" w:num="1"/>
          <w:docGrid w:type="lines" w:linePitch="312" w:charSpace="0"/>
        </w:sectPr>
      </w:pPr>
    </w:p>
    <w:p w14:paraId="3F7F9C7D">
      <w:pPr>
        <w:widowControl/>
        <w:adjustRightInd w:val="0"/>
        <w:snapToGrid w:val="0"/>
        <w:spacing w:line="580" w:lineRule="exact"/>
        <w:jc w:val="left"/>
        <w:outlineLvl w:val="1"/>
        <w:rPr>
          <w:rFonts w:hint="eastAsia" w:ascii="仿宋" w:hAnsi="仿宋" w:eastAsia="仿宋" w:cs="仿宋"/>
          <w:sz w:val="28"/>
          <w:szCs w:val="32"/>
        </w:rPr>
      </w:pPr>
      <w:r>
        <w:rPr>
          <w:rFonts w:hint="eastAsia" w:ascii="仿宋" w:hAnsi="仿宋" w:eastAsia="仿宋" w:cs="仿宋"/>
          <w:sz w:val="28"/>
          <w:szCs w:val="32"/>
        </w:rPr>
        <w:t>附件5-8：报价承诺函</w:t>
      </w:r>
    </w:p>
    <w:p w14:paraId="1DA34EBD">
      <w:pPr>
        <w:pStyle w:val="10"/>
        <w:rPr>
          <w:rFonts w:hint="eastAsia" w:ascii="仿宋" w:hAnsi="仿宋" w:eastAsia="仿宋" w:cs="仿宋"/>
          <w:sz w:val="28"/>
          <w:szCs w:val="32"/>
        </w:rPr>
      </w:pPr>
    </w:p>
    <w:p w14:paraId="1D106EA5">
      <w:pPr>
        <w:widowControl/>
        <w:spacing w:line="660" w:lineRule="exact"/>
        <w:jc w:val="center"/>
        <w:rPr>
          <w:rFonts w:hint="eastAsia" w:ascii="方正小标宋简体" w:hAnsi="仿宋" w:eastAsia="方正小标宋简体" w:cs="仿宋"/>
          <w:kern w:val="0"/>
          <w:sz w:val="44"/>
          <w:szCs w:val="44"/>
        </w:rPr>
      </w:pPr>
      <w:r>
        <w:rPr>
          <w:rFonts w:hint="eastAsia" w:ascii="方正小标宋简体" w:hAnsi="仿宋" w:eastAsia="方正小标宋简体" w:cs="仿宋"/>
          <w:kern w:val="0"/>
          <w:sz w:val="44"/>
          <w:szCs w:val="44"/>
        </w:rPr>
        <w:t>报价承诺函</w:t>
      </w:r>
    </w:p>
    <w:p w14:paraId="1A717C72">
      <w:pPr>
        <w:spacing w:line="520" w:lineRule="atLeast"/>
        <w:rPr>
          <w:rFonts w:hint="eastAsia" w:ascii="仿宋" w:hAnsi="仿宋" w:eastAsia="仿宋" w:cs="仿宋"/>
          <w:sz w:val="24"/>
        </w:rPr>
      </w:pPr>
      <w:r>
        <w:rPr>
          <w:rFonts w:hint="eastAsia" w:ascii="仿宋" w:hAnsi="仿宋" w:eastAsia="仿宋" w:cs="仿宋"/>
          <w:sz w:val="24"/>
        </w:rPr>
        <w:t>四川省妇幼保健院：</w:t>
      </w:r>
    </w:p>
    <w:p w14:paraId="0EBFE65A">
      <w:pPr>
        <w:spacing w:line="520" w:lineRule="atLeast"/>
        <w:ind w:firstLine="480" w:firstLineChars="200"/>
        <w:rPr>
          <w:rFonts w:hint="eastAsia" w:ascii="仿宋" w:hAnsi="仿宋" w:eastAsia="仿宋" w:cs="仿宋"/>
          <w:sz w:val="24"/>
        </w:rPr>
      </w:pPr>
      <w:r>
        <w:rPr>
          <w:rFonts w:hint="eastAsia" w:ascii="仿宋" w:hAnsi="仿宋" w:eastAsia="仿宋" w:cs="仿宋"/>
          <w:sz w:val="24"/>
        </w:rPr>
        <w:t>本供应商</w:t>
      </w:r>
      <w:r>
        <w:rPr>
          <w:rFonts w:hint="eastAsia" w:ascii="仿宋" w:hAnsi="仿宋" w:eastAsia="仿宋" w:cs="仿宋"/>
          <w:sz w:val="24"/>
          <w:u w:val="single"/>
        </w:rPr>
        <w:t xml:space="preserve">      （供应商全称）        </w:t>
      </w:r>
      <w:r>
        <w:rPr>
          <w:rFonts w:hint="eastAsia" w:ascii="仿宋" w:hAnsi="仿宋" w:eastAsia="仿宋" w:cs="仿宋"/>
          <w:sz w:val="24"/>
        </w:rPr>
        <w:t>参加</w:t>
      </w:r>
      <w:r>
        <w:rPr>
          <w:rFonts w:hint="eastAsia" w:ascii="仿宋" w:hAnsi="仿宋" w:eastAsia="仿宋" w:cs="仿宋"/>
          <w:sz w:val="24"/>
          <w:u w:val="single"/>
        </w:rPr>
        <w:t xml:space="preserve">       </w:t>
      </w:r>
      <w:r>
        <w:rPr>
          <w:rFonts w:hint="eastAsia" w:ascii="仿宋" w:hAnsi="仿宋" w:eastAsia="仿宋" w:cs="仿宋"/>
          <w:sz w:val="24"/>
        </w:rPr>
        <w:t>（项目编号</w:t>
      </w:r>
      <w:r>
        <w:rPr>
          <w:rFonts w:hint="eastAsia" w:ascii="仿宋" w:hAnsi="仿宋" w:eastAsia="仿宋" w:cs="仿宋"/>
          <w:sz w:val="24"/>
          <w:u w:val="single"/>
        </w:rPr>
        <w:t xml:space="preserve">            </w:t>
      </w:r>
      <w:r>
        <w:rPr>
          <w:rFonts w:hint="eastAsia" w:ascii="仿宋" w:hAnsi="仿宋" w:eastAsia="仿宋" w:cs="仿宋"/>
          <w:sz w:val="24"/>
        </w:rPr>
        <w:t>）的磋商活动，现郑重承诺：</w:t>
      </w:r>
    </w:p>
    <w:p w14:paraId="72F4C25D">
      <w:pPr>
        <w:spacing w:line="520" w:lineRule="atLeast"/>
        <w:ind w:firstLine="480" w:firstLineChars="200"/>
        <w:rPr>
          <w:rFonts w:hint="eastAsia" w:ascii="仿宋" w:hAnsi="仿宋" w:eastAsia="仿宋" w:cs="仿宋"/>
          <w:sz w:val="24"/>
        </w:rPr>
      </w:pPr>
    </w:p>
    <w:p w14:paraId="32D1686A">
      <w:pPr>
        <w:spacing w:line="520" w:lineRule="atLeast"/>
        <w:ind w:firstLine="482" w:firstLineChars="200"/>
        <w:rPr>
          <w:rFonts w:hint="eastAsia" w:ascii="仿宋" w:hAnsi="仿宋" w:eastAsia="仿宋" w:cs="仿宋"/>
          <w:b/>
          <w:bCs/>
          <w:sz w:val="24"/>
        </w:rPr>
      </w:pPr>
      <w:r>
        <w:rPr>
          <w:rFonts w:hint="eastAsia" w:ascii="仿宋" w:hAnsi="仿宋" w:eastAsia="仿宋" w:cs="仿宋"/>
          <w:b/>
          <w:bCs/>
          <w:sz w:val="24"/>
        </w:rPr>
        <w:t>我公司针对本项目的响应报价未高于四川省内其他地市中标（成交）价格或医疗机构近两年的历史采购最低价。</w:t>
      </w:r>
    </w:p>
    <w:p w14:paraId="269F8373">
      <w:pPr>
        <w:pStyle w:val="10"/>
        <w:spacing w:line="520" w:lineRule="atLeast"/>
      </w:pPr>
    </w:p>
    <w:p w14:paraId="50829D8E">
      <w:pPr>
        <w:spacing w:line="520" w:lineRule="atLeast"/>
        <w:ind w:firstLine="480" w:firstLineChars="200"/>
        <w:rPr>
          <w:rFonts w:hint="eastAsia" w:ascii="仿宋" w:hAnsi="仿宋" w:eastAsia="仿宋" w:cs="仿宋"/>
          <w:sz w:val="24"/>
        </w:rPr>
      </w:pPr>
      <w:r>
        <w:rPr>
          <w:rFonts w:hint="eastAsia" w:ascii="仿宋" w:hAnsi="仿宋" w:eastAsia="仿宋" w:cs="仿宋"/>
          <w:sz w:val="24"/>
        </w:rPr>
        <w:t>本公司对上述承诺的内容事项真实性负责。如经查实上述承诺的内容事项存在虚假，本单位愿意接受以提供虚假材料谋取成交追究法律责任。</w:t>
      </w:r>
    </w:p>
    <w:p w14:paraId="3DE33511">
      <w:pPr>
        <w:spacing w:line="520" w:lineRule="atLeast"/>
        <w:ind w:firstLine="480" w:firstLineChars="200"/>
        <w:rPr>
          <w:rFonts w:hint="eastAsia" w:ascii="仿宋" w:hAnsi="仿宋" w:eastAsia="仿宋" w:cs="仿宋"/>
          <w:sz w:val="24"/>
        </w:rPr>
      </w:pPr>
    </w:p>
    <w:p w14:paraId="507796E8">
      <w:pPr>
        <w:spacing w:line="520" w:lineRule="atLeast"/>
        <w:ind w:firstLine="480" w:firstLineChars="200"/>
        <w:rPr>
          <w:rFonts w:hint="eastAsia" w:ascii="仿宋" w:hAnsi="仿宋" w:eastAsia="仿宋" w:cs="仿宋"/>
          <w:sz w:val="24"/>
        </w:rPr>
      </w:pPr>
    </w:p>
    <w:p w14:paraId="16E511EF">
      <w:pPr>
        <w:spacing w:line="520" w:lineRule="atLeast"/>
        <w:ind w:firstLine="480" w:firstLineChars="200"/>
        <w:rPr>
          <w:rFonts w:hint="eastAsia" w:ascii="仿宋" w:hAnsi="仿宋" w:eastAsia="仿宋" w:cs="仿宋"/>
          <w:sz w:val="24"/>
        </w:rPr>
      </w:pPr>
      <w:r>
        <w:rPr>
          <w:rFonts w:hint="eastAsia" w:ascii="仿宋" w:hAnsi="仿宋" w:eastAsia="仿宋" w:cs="仿宋"/>
          <w:sz w:val="24"/>
        </w:rPr>
        <w:t>供应商名称：        （盖章）</w:t>
      </w:r>
    </w:p>
    <w:p w14:paraId="6CEDB485">
      <w:pPr>
        <w:spacing w:line="520" w:lineRule="atLeast"/>
        <w:ind w:firstLine="480" w:firstLineChars="200"/>
        <w:rPr>
          <w:rFonts w:hint="eastAsia" w:ascii="仿宋" w:hAnsi="仿宋" w:eastAsia="仿宋" w:cs="仿宋"/>
          <w:sz w:val="24"/>
        </w:rPr>
      </w:pPr>
      <w:r>
        <w:rPr>
          <w:rFonts w:hint="eastAsia" w:ascii="仿宋" w:hAnsi="仿宋" w:eastAsia="仿宋" w:cs="仿宋"/>
          <w:sz w:val="24"/>
        </w:rPr>
        <w:t>法定代表人或授权代表（</w:t>
      </w:r>
      <w:r>
        <w:rPr>
          <w:rFonts w:hint="eastAsia" w:ascii="仿宋" w:hAnsi="仿宋" w:eastAsia="仿宋" w:cs="仿宋"/>
          <w:sz w:val="24"/>
          <w:u w:val="single"/>
        </w:rPr>
        <w:t>签字或盖章</w:t>
      </w:r>
      <w:r>
        <w:rPr>
          <w:rFonts w:hint="eastAsia" w:ascii="仿宋" w:hAnsi="仿宋" w:eastAsia="仿宋" w:cs="仿宋"/>
          <w:sz w:val="24"/>
        </w:rPr>
        <w:t>）：</w:t>
      </w:r>
    </w:p>
    <w:p w14:paraId="76334315">
      <w:pPr>
        <w:spacing w:line="520" w:lineRule="atLeast"/>
        <w:ind w:firstLine="480" w:firstLineChars="200"/>
        <w:rPr>
          <w:rFonts w:hint="eastAsia" w:ascii="仿宋" w:hAnsi="仿宋" w:eastAsia="仿宋" w:cs="仿宋"/>
          <w:sz w:val="24"/>
        </w:rPr>
      </w:pPr>
      <w:r>
        <w:rPr>
          <w:rFonts w:hint="eastAsia" w:ascii="仿宋" w:hAnsi="仿宋" w:eastAsia="仿宋" w:cs="仿宋"/>
          <w:sz w:val="24"/>
        </w:rPr>
        <w:t>日 期：</w:t>
      </w:r>
    </w:p>
    <w:p w14:paraId="27A164B5">
      <w:pPr>
        <w:pStyle w:val="9"/>
        <w:spacing w:line="520" w:lineRule="atLeast"/>
        <w:rPr>
          <w:rFonts w:hint="eastAsia" w:ascii="仿宋" w:hAnsi="仿宋" w:eastAsia="仿宋" w:cs="仿宋"/>
        </w:rPr>
        <w:sectPr>
          <w:pgSz w:w="11906" w:h="16838"/>
          <w:pgMar w:top="1440" w:right="1800" w:bottom="1440" w:left="1800" w:header="851" w:footer="992" w:gutter="0"/>
          <w:cols w:space="425" w:num="1"/>
          <w:docGrid w:type="lines" w:linePitch="312" w:charSpace="0"/>
        </w:sectPr>
      </w:pPr>
    </w:p>
    <w:p w14:paraId="75A132C4">
      <w:pPr>
        <w:spacing w:line="400" w:lineRule="exact"/>
        <w:ind w:firstLine="560" w:firstLineChars="200"/>
        <w:rPr>
          <w:rFonts w:hint="eastAsia" w:ascii="仿宋" w:hAnsi="仿宋" w:eastAsia="仿宋" w:cs="仿宋"/>
          <w:sz w:val="28"/>
          <w:szCs w:val="32"/>
        </w:rPr>
      </w:pPr>
    </w:p>
    <w:p w14:paraId="44258030">
      <w:pPr>
        <w:widowControl/>
        <w:adjustRightInd w:val="0"/>
        <w:snapToGrid w:val="0"/>
        <w:spacing w:line="580" w:lineRule="exact"/>
        <w:jc w:val="left"/>
        <w:outlineLvl w:val="0"/>
        <w:rPr>
          <w:rFonts w:hint="eastAsia" w:ascii="仿宋" w:hAnsi="仿宋" w:eastAsia="仿宋" w:cs="仿宋"/>
          <w:sz w:val="28"/>
          <w:szCs w:val="32"/>
        </w:rPr>
      </w:pPr>
      <w:r>
        <w:rPr>
          <w:rFonts w:hint="eastAsia" w:ascii="仿宋" w:hAnsi="仿宋" w:eastAsia="仿宋" w:cs="仿宋"/>
          <w:sz w:val="28"/>
          <w:szCs w:val="32"/>
        </w:rPr>
        <w:t>附件6：反商业贿赂承诺书</w:t>
      </w:r>
    </w:p>
    <w:p w14:paraId="6DB39C5C">
      <w:pPr>
        <w:widowControl/>
        <w:spacing w:line="660" w:lineRule="exact"/>
        <w:jc w:val="center"/>
        <w:rPr>
          <w:rFonts w:hint="eastAsia" w:ascii="方正小标宋简体" w:hAnsi="仿宋" w:eastAsia="方正小标宋简体" w:cs="仿宋"/>
          <w:kern w:val="0"/>
          <w:sz w:val="44"/>
          <w:szCs w:val="44"/>
        </w:rPr>
      </w:pPr>
      <w:r>
        <w:rPr>
          <w:rFonts w:hint="eastAsia" w:ascii="方正小标宋简体" w:hAnsi="仿宋" w:eastAsia="方正小标宋简体" w:cs="仿宋"/>
          <w:kern w:val="0"/>
          <w:sz w:val="44"/>
          <w:szCs w:val="44"/>
        </w:rPr>
        <w:t>反商业贿赂承诺书</w:t>
      </w:r>
    </w:p>
    <w:p w14:paraId="1E8256FB">
      <w:pPr>
        <w:widowControl/>
        <w:shd w:val="clear" w:color="auto" w:fill="FFFFFF"/>
        <w:wordWrap w:val="0"/>
        <w:spacing w:line="520" w:lineRule="exact"/>
        <w:ind w:firstLine="480" w:firstLineChars="200"/>
        <w:jc w:val="left"/>
        <w:rPr>
          <w:rFonts w:hint="eastAsia" w:ascii="仿宋" w:hAnsi="仿宋" w:eastAsia="仿宋" w:cs="仿宋"/>
          <w:kern w:val="0"/>
          <w:sz w:val="24"/>
        </w:rPr>
      </w:pPr>
      <w:r>
        <w:rPr>
          <w:rFonts w:hint="eastAsia" w:ascii="仿宋" w:hAnsi="仿宋" w:eastAsia="仿宋" w:cs="仿宋"/>
          <w:kern w:val="0"/>
          <w:sz w:val="24"/>
        </w:rPr>
        <w:t>为维护卫生行业的整体形象，保证药品、医疗器械、仪器设备、物资、基建工程招投标工作以及药品、试剂销售等工作的合法开展，维护贵院医疗、管理工作的正常秩序，保障广大患者的健康和利益，本厂家、商家、公司特郑重承诺如下：</w:t>
      </w:r>
    </w:p>
    <w:p w14:paraId="094FA1D8">
      <w:pPr>
        <w:widowControl/>
        <w:shd w:val="clear" w:color="auto" w:fill="FFFFFF"/>
        <w:wordWrap w:val="0"/>
        <w:spacing w:line="520" w:lineRule="exact"/>
        <w:ind w:firstLine="480" w:firstLineChars="200"/>
        <w:jc w:val="left"/>
        <w:rPr>
          <w:rFonts w:hint="eastAsia" w:ascii="仿宋" w:hAnsi="仿宋" w:eastAsia="仿宋" w:cs="仿宋"/>
          <w:kern w:val="0"/>
          <w:sz w:val="24"/>
        </w:rPr>
      </w:pPr>
      <w:r>
        <w:rPr>
          <w:rFonts w:hint="eastAsia" w:ascii="仿宋" w:hAnsi="仿宋" w:eastAsia="仿宋" w:cs="仿宋"/>
          <w:kern w:val="0"/>
          <w:sz w:val="24"/>
        </w:rPr>
        <w:t>一、严格按照《招标投标法》、《药品管理法》、《反不正当竞争法》等有关法律、法规、规章、政策的规定，规范本厂家、商家、公司的药品、医疗器械、设备、物资、基建工程竞标工作以及药品准入贵院以后的销售等工作，保证做到合法竞标、正当竞争、廉洁经营。</w:t>
      </w:r>
    </w:p>
    <w:p w14:paraId="4F0099F5">
      <w:pPr>
        <w:widowControl/>
        <w:shd w:val="clear" w:color="auto" w:fill="FFFFFF"/>
        <w:wordWrap w:val="0"/>
        <w:spacing w:line="520" w:lineRule="exact"/>
        <w:ind w:firstLine="480" w:firstLineChars="200"/>
        <w:jc w:val="left"/>
        <w:rPr>
          <w:rFonts w:hint="eastAsia" w:ascii="仿宋" w:hAnsi="仿宋" w:eastAsia="仿宋" w:cs="仿宋"/>
          <w:kern w:val="0"/>
          <w:sz w:val="24"/>
        </w:rPr>
      </w:pPr>
      <w:r>
        <w:rPr>
          <w:rFonts w:hint="eastAsia" w:ascii="仿宋" w:hAnsi="仿宋" w:eastAsia="仿宋" w:cs="仿宋"/>
          <w:kern w:val="0"/>
          <w:sz w:val="24"/>
        </w:rPr>
        <w:t>二、本厂家、商家、公司保证在药品、医疗器械、设备、物资、基建工程竞标工作及药品、试剂销售等工作中承诺做到：</w:t>
      </w:r>
    </w:p>
    <w:p w14:paraId="651F3893">
      <w:pPr>
        <w:widowControl/>
        <w:shd w:val="clear" w:color="auto" w:fill="FFFFFF"/>
        <w:wordWrap w:val="0"/>
        <w:spacing w:line="520" w:lineRule="exact"/>
        <w:ind w:firstLine="480" w:firstLineChars="200"/>
        <w:jc w:val="left"/>
        <w:rPr>
          <w:rFonts w:hint="eastAsia" w:ascii="仿宋" w:hAnsi="仿宋" w:eastAsia="仿宋" w:cs="仿宋"/>
          <w:kern w:val="0"/>
          <w:sz w:val="24"/>
        </w:rPr>
      </w:pPr>
      <w:r>
        <w:rPr>
          <w:rFonts w:hint="eastAsia" w:ascii="仿宋" w:hAnsi="仿宋" w:eastAsia="仿宋" w:cs="仿宋"/>
          <w:kern w:val="0"/>
          <w:sz w:val="24"/>
        </w:rPr>
        <w:t>1、不与其他供应商相互串通投标报价，损害贵院的合法权益；</w:t>
      </w:r>
    </w:p>
    <w:p w14:paraId="79CA40CE">
      <w:pPr>
        <w:widowControl/>
        <w:shd w:val="clear" w:color="auto" w:fill="FFFFFF"/>
        <w:wordWrap w:val="0"/>
        <w:spacing w:line="520" w:lineRule="exact"/>
        <w:ind w:firstLine="480" w:firstLineChars="200"/>
        <w:jc w:val="left"/>
        <w:rPr>
          <w:rFonts w:hint="eastAsia" w:ascii="仿宋" w:hAnsi="仿宋" w:eastAsia="仿宋" w:cs="仿宋"/>
          <w:kern w:val="0"/>
          <w:sz w:val="24"/>
        </w:rPr>
      </w:pPr>
      <w:r>
        <w:rPr>
          <w:rFonts w:hint="eastAsia" w:ascii="仿宋" w:hAnsi="仿宋" w:eastAsia="仿宋" w:cs="仿宋"/>
          <w:kern w:val="0"/>
          <w:sz w:val="24"/>
        </w:rPr>
        <w:t>2、不与招标人串通投标，损害国家利益、社会公共利益或他人的合法权益；</w:t>
      </w:r>
    </w:p>
    <w:p w14:paraId="5F252422">
      <w:pPr>
        <w:widowControl/>
        <w:shd w:val="clear" w:color="auto" w:fill="FFFFFF"/>
        <w:wordWrap w:val="0"/>
        <w:spacing w:line="520" w:lineRule="exact"/>
        <w:ind w:firstLine="480" w:firstLineChars="200"/>
        <w:jc w:val="left"/>
        <w:rPr>
          <w:rFonts w:hint="eastAsia" w:ascii="仿宋" w:hAnsi="仿宋" w:eastAsia="仿宋" w:cs="仿宋"/>
          <w:kern w:val="0"/>
          <w:sz w:val="24"/>
        </w:rPr>
      </w:pPr>
      <w:r>
        <w:rPr>
          <w:rFonts w:hint="eastAsia" w:ascii="仿宋" w:hAnsi="仿宋" w:eastAsia="仿宋" w:cs="仿宋"/>
          <w:kern w:val="0"/>
          <w:sz w:val="24"/>
        </w:rPr>
        <w:t>3、不以向招标人或者评标委员会成员行贿的手段谋取中标；</w:t>
      </w:r>
    </w:p>
    <w:p w14:paraId="2EE80B96">
      <w:pPr>
        <w:widowControl/>
        <w:shd w:val="clear" w:color="auto" w:fill="FFFFFF"/>
        <w:wordWrap w:val="0"/>
        <w:spacing w:line="520" w:lineRule="exact"/>
        <w:ind w:firstLine="480" w:firstLineChars="200"/>
        <w:jc w:val="left"/>
        <w:rPr>
          <w:rFonts w:hint="eastAsia" w:ascii="仿宋" w:hAnsi="仿宋" w:eastAsia="仿宋" w:cs="仿宋"/>
          <w:kern w:val="0"/>
          <w:sz w:val="24"/>
        </w:rPr>
      </w:pPr>
      <w:r>
        <w:rPr>
          <w:rFonts w:hint="eastAsia" w:ascii="仿宋" w:hAnsi="仿宋" w:eastAsia="仿宋" w:cs="仿宋"/>
          <w:kern w:val="0"/>
          <w:sz w:val="24"/>
        </w:rPr>
        <w:t>4、竞标报价不违反相关法律的规定，也不以他人名义投标或者以其他方式弄虚作假，骗取中标；</w:t>
      </w:r>
    </w:p>
    <w:p w14:paraId="17114E2A">
      <w:pPr>
        <w:widowControl/>
        <w:shd w:val="clear" w:color="auto" w:fill="FFFFFF"/>
        <w:wordWrap w:val="0"/>
        <w:spacing w:line="520" w:lineRule="exact"/>
        <w:ind w:firstLine="480" w:firstLineChars="200"/>
        <w:jc w:val="left"/>
        <w:rPr>
          <w:rFonts w:hint="eastAsia" w:ascii="仿宋" w:hAnsi="仿宋" w:eastAsia="仿宋" w:cs="仿宋"/>
          <w:kern w:val="0"/>
          <w:sz w:val="24"/>
        </w:rPr>
      </w:pPr>
      <w:r>
        <w:rPr>
          <w:rFonts w:hint="eastAsia" w:ascii="仿宋" w:hAnsi="仿宋" w:eastAsia="仿宋" w:cs="仿宋"/>
          <w:kern w:val="0"/>
          <w:sz w:val="24"/>
        </w:rPr>
        <w:t>5、保证不以其他任何方式扰乱贵院的招标工作；</w:t>
      </w:r>
    </w:p>
    <w:p w14:paraId="0DF05E7A">
      <w:pPr>
        <w:widowControl/>
        <w:shd w:val="clear" w:color="auto" w:fill="FFFFFF"/>
        <w:wordWrap w:val="0"/>
        <w:spacing w:line="520" w:lineRule="exact"/>
        <w:ind w:firstLine="480" w:firstLineChars="200"/>
        <w:jc w:val="left"/>
        <w:rPr>
          <w:rFonts w:hint="eastAsia" w:ascii="仿宋" w:hAnsi="仿宋" w:eastAsia="仿宋" w:cs="仿宋"/>
          <w:kern w:val="0"/>
          <w:sz w:val="24"/>
        </w:rPr>
      </w:pPr>
      <w:r>
        <w:rPr>
          <w:rFonts w:hint="eastAsia" w:ascii="仿宋" w:hAnsi="仿宋" w:eastAsia="仿宋" w:cs="仿宋"/>
          <w:kern w:val="0"/>
          <w:sz w:val="24"/>
        </w:rPr>
        <w:t>6、保证不在药品销售、医疗器械、设备、物资、基建工程竞标中采取账外暗中给予回扣的手段腐蚀、贿赂医护、药剂人员、干部等其他相关人员；</w:t>
      </w:r>
    </w:p>
    <w:p w14:paraId="59653128">
      <w:pPr>
        <w:widowControl/>
        <w:shd w:val="clear" w:color="auto" w:fill="FFFFFF"/>
        <w:wordWrap w:val="0"/>
        <w:spacing w:line="520" w:lineRule="exact"/>
        <w:ind w:firstLine="480" w:firstLineChars="200"/>
        <w:jc w:val="left"/>
        <w:rPr>
          <w:rFonts w:hint="eastAsia" w:ascii="仿宋" w:hAnsi="仿宋" w:eastAsia="仿宋" w:cs="仿宋"/>
          <w:kern w:val="0"/>
          <w:sz w:val="24"/>
        </w:rPr>
      </w:pPr>
      <w:r>
        <w:rPr>
          <w:rFonts w:hint="eastAsia" w:ascii="仿宋" w:hAnsi="仿宋" w:eastAsia="仿宋" w:cs="仿宋"/>
          <w:kern w:val="0"/>
          <w:sz w:val="24"/>
        </w:rPr>
        <w:t>7、保证不以任何名义包括以宣传费、临床促销费、开单费、处方费、广告费、免费度假、考察旅游、房屋装修等任何名义给予贵院采购人员、药剂人员、医护人员、干部等有关人员以财物或者其他利益；</w:t>
      </w:r>
    </w:p>
    <w:p w14:paraId="1A1BA646">
      <w:pPr>
        <w:widowControl/>
        <w:shd w:val="clear" w:color="auto" w:fill="FFFFFF"/>
        <w:wordWrap w:val="0"/>
        <w:spacing w:line="520" w:lineRule="exact"/>
        <w:ind w:firstLine="480" w:firstLineChars="200"/>
        <w:jc w:val="left"/>
        <w:rPr>
          <w:rFonts w:hint="eastAsia" w:ascii="仿宋" w:hAnsi="仿宋" w:eastAsia="仿宋" w:cs="仿宋"/>
          <w:kern w:val="0"/>
          <w:sz w:val="24"/>
        </w:rPr>
      </w:pPr>
      <w:r>
        <w:rPr>
          <w:rFonts w:hint="eastAsia" w:ascii="仿宋" w:hAnsi="仿宋" w:eastAsia="仿宋" w:cs="仿宋"/>
          <w:kern w:val="0"/>
          <w:sz w:val="24"/>
        </w:rPr>
        <w:t>8、保证不让贵院临床科室、药剂部门以及有关人员登记、统计医生处方或为此提供方便，干扰贵院的正常工作秩序；</w:t>
      </w:r>
    </w:p>
    <w:p w14:paraId="31C67DA2">
      <w:pPr>
        <w:widowControl/>
        <w:shd w:val="clear" w:color="auto" w:fill="FFFFFF"/>
        <w:wordWrap w:val="0"/>
        <w:spacing w:line="520" w:lineRule="exact"/>
        <w:ind w:firstLine="480" w:firstLineChars="200"/>
        <w:jc w:val="left"/>
        <w:rPr>
          <w:rFonts w:hint="eastAsia" w:ascii="仿宋" w:hAnsi="仿宋" w:eastAsia="仿宋" w:cs="仿宋"/>
          <w:kern w:val="0"/>
          <w:sz w:val="24"/>
        </w:rPr>
      </w:pPr>
      <w:r>
        <w:rPr>
          <w:rFonts w:hint="eastAsia" w:ascii="仿宋" w:hAnsi="仿宋" w:eastAsia="仿宋" w:cs="仿宋"/>
          <w:kern w:val="0"/>
          <w:sz w:val="24"/>
        </w:rPr>
        <w:t>9、保证不以其他任何不正当竞争手段推销药品、医疗器械、设备、物资。</w:t>
      </w:r>
    </w:p>
    <w:p w14:paraId="26CE7E27">
      <w:pPr>
        <w:widowControl/>
        <w:shd w:val="clear" w:color="auto" w:fill="FFFFFF"/>
        <w:wordWrap w:val="0"/>
        <w:spacing w:line="520" w:lineRule="exact"/>
        <w:ind w:firstLine="480" w:firstLineChars="200"/>
        <w:jc w:val="left"/>
        <w:rPr>
          <w:rFonts w:hint="eastAsia" w:ascii="仿宋" w:hAnsi="仿宋" w:eastAsia="仿宋" w:cs="仿宋"/>
          <w:kern w:val="0"/>
          <w:sz w:val="24"/>
        </w:rPr>
      </w:pPr>
      <w:r>
        <w:rPr>
          <w:rFonts w:hint="eastAsia" w:ascii="仿宋" w:hAnsi="仿宋" w:eastAsia="仿宋" w:cs="仿宋"/>
          <w:kern w:val="0"/>
          <w:sz w:val="24"/>
        </w:rPr>
        <w:t>三、本厂家、商家、公司保证竭力维护贵院的声誉，不做任何有损贵院形象的事情。</w:t>
      </w:r>
    </w:p>
    <w:p w14:paraId="5ACA70E3">
      <w:pPr>
        <w:widowControl/>
        <w:shd w:val="clear" w:color="auto" w:fill="FFFFFF"/>
        <w:wordWrap w:val="0"/>
        <w:spacing w:line="520" w:lineRule="exact"/>
        <w:ind w:firstLine="480" w:firstLineChars="200"/>
        <w:jc w:val="left"/>
        <w:rPr>
          <w:rFonts w:hint="eastAsia" w:ascii="仿宋" w:hAnsi="仿宋" w:eastAsia="仿宋" w:cs="仿宋"/>
          <w:kern w:val="0"/>
          <w:sz w:val="24"/>
        </w:rPr>
      </w:pPr>
      <w:r>
        <w:rPr>
          <w:rFonts w:hint="eastAsia" w:ascii="仿宋" w:hAnsi="仿宋" w:eastAsia="仿宋" w:cs="仿宋"/>
          <w:kern w:val="0"/>
          <w:sz w:val="24"/>
        </w:rPr>
        <w:t>四、本厂家、商家、公司保证加强对竞标、促销等工作的领导、监督和检查；加强对本厂家、商家、公司工作人员进行相关法律、法规、规章、政策等的教育工作，切实要求本厂家、商家、公司相关工作人员不得采取各类回扣手段腐蚀、贿赂采购、药剂、医护、干部等相关人员。</w:t>
      </w:r>
    </w:p>
    <w:p w14:paraId="2359A2B0">
      <w:pPr>
        <w:widowControl/>
        <w:shd w:val="clear" w:color="auto" w:fill="FFFFFF"/>
        <w:wordWrap w:val="0"/>
        <w:spacing w:line="520" w:lineRule="exact"/>
        <w:ind w:firstLine="480" w:firstLineChars="200"/>
        <w:jc w:val="left"/>
        <w:rPr>
          <w:rFonts w:hint="eastAsia" w:ascii="仿宋" w:hAnsi="仿宋" w:eastAsia="仿宋" w:cs="仿宋"/>
          <w:kern w:val="0"/>
          <w:sz w:val="24"/>
        </w:rPr>
      </w:pPr>
      <w:r>
        <w:rPr>
          <w:rFonts w:hint="eastAsia" w:ascii="仿宋" w:hAnsi="仿宋" w:eastAsia="仿宋" w:cs="仿宋"/>
          <w:kern w:val="0"/>
          <w:sz w:val="24"/>
        </w:rPr>
        <w:t>五、对本厂家、商家、公司及本厂家、商家、公司工作人员采取以上手段竞标、促销等，干扰贵院正常工作秩序，损害贵院形象的，本厂家、商家、公司保证：</w:t>
      </w:r>
    </w:p>
    <w:p w14:paraId="40C2F4D5">
      <w:pPr>
        <w:widowControl/>
        <w:shd w:val="clear" w:color="auto" w:fill="FFFFFF"/>
        <w:wordWrap w:val="0"/>
        <w:spacing w:line="520" w:lineRule="exact"/>
        <w:ind w:firstLine="480" w:firstLineChars="200"/>
        <w:jc w:val="left"/>
        <w:rPr>
          <w:rFonts w:hint="eastAsia" w:ascii="仿宋" w:hAnsi="仿宋" w:eastAsia="仿宋" w:cs="仿宋"/>
          <w:kern w:val="0"/>
          <w:sz w:val="24"/>
        </w:rPr>
      </w:pPr>
      <w:r>
        <w:rPr>
          <w:rFonts w:hint="eastAsia" w:ascii="仿宋" w:hAnsi="仿宋" w:eastAsia="仿宋" w:cs="仿宋"/>
          <w:kern w:val="0"/>
          <w:sz w:val="24"/>
        </w:rPr>
        <w:t>1、对尚处在竞标阶段的，贵院有权取消本厂家、商家、公司的竞标资格；已经中标的，贵院有权取消中标；对已经获得准入资格的，贵院有权随时取消本厂家、商家、公司的准入资格；</w:t>
      </w:r>
    </w:p>
    <w:p w14:paraId="12376061">
      <w:pPr>
        <w:widowControl/>
        <w:shd w:val="clear" w:color="auto" w:fill="FFFFFF"/>
        <w:wordWrap w:val="0"/>
        <w:spacing w:line="520" w:lineRule="exact"/>
        <w:ind w:firstLine="480" w:firstLineChars="200"/>
        <w:jc w:val="left"/>
        <w:rPr>
          <w:rFonts w:hint="eastAsia" w:ascii="仿宋" w:hAnsi="仿宋" w:eastAsia="仿宋" w:cs="仿宋"/>
          <w:kern w:val="0"/>
          <w:sz w:val="24"/>
        </w:rPr>
      </w:pPr>
      <w:r>
        <w:rPr>
          <w:rFonts w:hint="eastAsia" w:ascii="仿宋" w:hAnsi="仿宋" w:eastAsia="仿宋" w:cs="仿宋"/>
          <w:kern w:val="0"/>
          <w:sz w:val="24"/>
        </w:rPr>
        <w:t>2、对本厂家、商家、公司相关工作人员作出严肃处理；</w:t>
      </w:r>
    </w:p>
    <w:p w14:paraId="71792A46">
      <w:pPr>
        <w:widowControl/>
        <w:shd w:val="clear" w:color="auto" w:fill="FFFFFF"/>
        <w:wordWrap w:val="0"/>
        <w:spacing w:line="520" w:lineRule="exact"/>
        <w:ind w:firstLine="480" w:firstLineChars="200"/>
        <w:jc w:val="left"/>
        <w:rPr>
          <w:rFonts w:hint="eastAsia" w:ascii="仿宋" w:hAnsi="仿宋" w:eastAsia="仿宋" w:cs="仿宋"/>
          <w:kern w:val="0"/>
          <w:sz w:val="24"/>
        </w:rPr>
      </w:pPr>
      <w:r>
        <w:rPr>
          <w:rFonts w:hint="eastAsia" w:ascii="仿宋" w:hAnsi="仿宋" w:eastAsia="仿宋" w:cs="仿宋"/>
          <w:kern w:val="0"/>
          <w:sz w:val="24"/>
        </w:rPr>
        <w:t>3、对由于本厂家、商家、公司或本厂家、商家、公司工作人员的上述行为给贵院造成经济或名誉损失的，由本厂家、商家、公司负责，并愿意承担全部民事赔偿责任。</w:t>
      </w:r>
    </w:p>
    <w:p w14:paraId="5057B2BE">
      <w:pPr>
        <w:widowControl/>
        <w:shd w:val="clear" w:color="auto" w:fill="FFFFFF"/>
        <w:wordWrap w:val="0"/>
        <w:spacing w:line="520" w:lineRule="exact"/>
        <w:ind w:firstLine="480" w:firstLineChars="200"/>
        <w:jc w:val="left"/>
        <w:rPr>
          <w:rFonts w:hint="eastAsia" w:ascii="仿宋" w:hAnsi="仿宋" w:eastAsia="仿宋" w:cs="仿宋"/>
          <w:kern w:val="0"/>
          <w:sz w:val="24"/>
        </w:rPr>
      </w:pPr>
      <w:r>
        <w:rPr>
          <w:rFonts w:hint="eastAsia" w:ascii="仿宋" w:hAnsi="仿宋" w:eastAsia="仿宋" w:cs="仿宋"/>
          <w:kern w:val="0"/>
          <w:sz w:val="24"/>
        </w:rPr>
        <w:t>六、采购物资名称：</w:t>
      </w:r>
    </w:p>
    <w:p w14:paraId="4F7111D7">
      <w:pPr>
        <w:widowControl/>
        <w:shd w:val="clear" w:color="auto" w:fill="FFFFFF"/>
        <w:wordWrap w:val="0"/>
        <w:spacing w:line="520" w:lineRule="exact"/>
        <w:ind w:firstLine="480" w:firstLineChars="200"/>
        <w:jc w:val="left"/>
        <w:rPr>
          <w:rFonts w:hint="eastAsia" w:ascii="仿宋" w:hAnsi="仿宋" w:eastAsia="仿宋" w:cs="仿宋"/>
          <w:kern w:val="0"/>
          <w:sz w:val="24"/>
        </w:rPr>
      </w:pPr>
      <w:r>
        <w:rPr>
          <w:rFonts w:hint="eastAsia" w:ascii="仿宋" w:hAnsi="仿宋" w:eastAsia="仿宋" w:cs="仿宋"/>
          <w:kern w:val="0"/>
          <w:sz w:val="24"/>
        </w:rPr>
        <w:t>本《承诺书》一式二份（一份由承诺人自存；一份随</w:t>
      </w:r>
      <w:r>
        <w:rPr>
          <w:rFonts w:hint="eastAsia" w:ascii="仿宋" w:hAnsi="仿宋" w:eastAsia="仿宋" w:cs="仿宋"/>
          <w:kern w:val="0"/>
          <w:sz w:val="24"/>
          <w:lang w:eastAsia="zh-CN"/>
        </w:rPr>
        <w:t>响应文件</w:t>
      </w:r>
      <w:r>
        <w:rPr>
          <w:rFonts w:hint="eastAsia" w:ascii="仿宋" w:hAnsi="仿宋" w:eastAsia="仿宋" w:cs="仿宋"/>
          <w:kern w:val="0"/>
          <w:sz w:val="24"/>
        </w:rPr>
        <w:t>装订）</w:t>
      </w:r>
    </w:p>
    <w:p w14:paraId="3FC657BF">
      <w:pPr>
        <w:widowControl/>
        <w:shd w:val="clear" w:color="auto" w:fill="FFFFFF"/>
        <w:wordWrap w:val="0"/>
        <w:spacing w:line="520" w:lineRule="exact"/>
        <w:ind w:firstLine="480" w:firstLineChars="200"/>
        <w:jc w:val="left"/>
        <w:rPr>
          <w:rFonts w:hint="eastAsia" w:ascii="仿宋" w:hAnsi="仿宋" w:eastAsia="仿宋" w:cs="仿宋"/>
          <w:b/>
          <w:bCs/>
          <w:kern w:val="0"/>
          <w:sz w:val="24"/>
          <w:shd w:val="clear" w:color="auto" w:fill="FFFFFF"/>
        </w:rPr>
        <w:sectPr>
          <w:pgSz w:w="11906" w:h="16838"/>
          <w:pgMar w:top="1020" w:right="1800" w:bottom="1440" w:left="1800" w:header="851" w:footer="992" w:gutter="0"/>
          <w:cols w:space="425" w:num="1"/>
          <w:docGrid w:type="lines" w:linePitch="312" w:charSpace="0"/>
        </w:sectPr>
      </w:pPr>
      <w:r>
        <w:rPr>
          <w:rFonts w:hint="eastAsia" w:ascii="仿宋" w:hAnsi="仿宋" w:eastAsia="仿宋" w:cs="仿宋"/>
          <w:kern w:val="0"/>
          <w:sz w:val="24"/>
        </w:rPr>
        <w:t>承诺企业名称（公章）法人代表或委托代理人（承诺人）</w:t>
      </w:r>
    </w:p>
    <w:p w14:paraId="372110C8">
      <w:pPr>
        <w:widowControl/>
        <w:adjustRightInd w:val="0"/>
        <w:snapToGrid w:val="0"/>
        <w:spacing w:line="580" w:lineRule="exact"/>
        <w:jc w:val="left"/>
        <w:outlineLvl w:val="0"/>
        <w:rPr>
          <w:rFonts w:hint="eastAsia" w:ascii="仿宋" w:hAnsi="仿宋" w:eastAsia="仿宋" w:cs="仿宋"/>
          <w:sz w:val="28"/>
          <w:szCs w:val="32"/>
        </w:rPr>
      </w:pPr>
      <w:r>
        <w:rPr>
          <w:rFonts w:hint="eastAsia" w:ascii="仿宋" w:hAnsi="仿宋" w:eastAsia="仿宋" w:cs="仿宋"/>
          <w:sz w:val="28"/>
          <w:szCs w:val="32"/>
        </w:rPr>
        <w:t>附件7：无围标、串标行为承诺书</w:t>
      </w:r>
    </w:p>
    <w:p w14:paraId="0A8D8CB2">
      <w:pPr>
        <w:widowControl/>
        <w:spacing w:line="660" w:lineRule="exact"/>
        <w:jc w:val="center"/>
        <w:rPr>
          <w:rFonts w:hint="eastAsia" w:ascii="方正小标宋简体" w:hAnsi="仿宋" w:eastAsia="方正小标宋简体" w:cs="仿宋"/>
          <w:kern w:val="0"/>
          <w:sz w:val="44"/>
          <w:szCs w:val="44"/>
        </w:rPr>
      </w:pPr>
      <w:r>
        <w:rPr>
          <w:rFonts w:hint="eastAsia" w:ascii="方正小标宋简体" w:hAnsi="仿宋" w:eastAsia="方正小标宋简体" w:cs="仿宋"/>
          <w:kern w:val="0"/>
          <w:sz w:val="44"/>
          <w:szCs w:val="44"/>
        </w:rPr>
        <w:t>无围标、串标行为承诺书</w:t>
      </w:r>
    </w:p>
    <w:p w14:paraId="735B3971">
      <w:pPr>
        <w:widowControl/>
        <w:shd w:val="clear" w:color="auto" w:fill="FFFFFF"/>
        <w:wordWrap w:val="0"/>
        <w:spacing w:line="520" w:lineRule="atLeast"/>
        <w:ind w:firstLine="480" w:firstLineChars="200"/>
        <w:jc w:val="left"/>
        <w:rPr>
          <w:rFonts w:hint="eastAsia" w:ascii="仿宋" w:hAnsi="仿宋" w:eastAsia="仿宋" w:cs="仿宋"/>
          <w:kern w:val="0"/>
          <w:sz w:val="24"/>
        </w:rPr>
      </w:pPr>
      <w:r>
        <w:rPr>
          <w:rFonts w:hint="eastAsia" w:ascii="仿宋" w:hAnsi="仿宋" w:eastAsia="仿宋" w:cs="仿宋"/>
          <w:kern w:val="0"/>
          <w:sz w:val="24"/>
        </w:rPr>
        <w:t>本公司郑重承诺：我公司自觉遵守《中华人民共和国政府采购法》和《中华人民共和国政府采购法实施条例》的有关规定，我公司在参加本次项目（项目名称：XXXXXXX）采购活动中，无以下围标、串标行为：</w:t>
      </w:r>
    </w:p>
    <w:p w14:paraId="0DB78769">
      <w:pPr>
        <w:widowControl/>
        <w:shd w:val="clear" w:color="auto" w:fill="FFFFFF"/>
        <w:wordWrap w:val="0"/>
        <w:spacing w:line="520" w:lineRule="atLeast"/>
        <w:ind w:firstLine="480" w:firstLineChars="200"/>
        <w:jc w:val="left"/>
        <w:rPr>
          <w:rFonts w:hint="eastAsia" w:ascii="仿宋" w:hAnsi="仿宋" w:eastAsia="仿宋" w:cs="仿宋"/>
          <w:kern w:val="0"/>
          <w:sz w:val="24"/>
        </w:rPr>
      </w:pPr>
      <w:r>
        <w:rPr>
          <w:rFonts w:hint="eastAsia" w:ascii="仿宋" w:hAnsi="仿宋" w:eastAsia="仿宋" w:cs="仿宋"/>
          <w:kern w:val="0"/>
          <w:sz w:val="24"/>
        </w:rPr>
        <w:t>1.不同供应商的</w:t>
      </w:r>
      <w:r>
        <w:rPr>
          <w:rFonts w:hint="eastAsia" w:ascii="仿宋" w:hAnsi="仿宋" w:eastAsia="仿宋" w:cs="仿宋"/>
          <w:kern w:val="0"/>
          <w:sz w:val="24"/>
          <w:lang w:eastAsia="zh-CN"/>
        </w:rPr>
        <w:t>响应文件</w:t>
      </w:r>
      <w:r>
        <w:rPr>
          <w:rFonts w:hint="eastAsia" w:ascii="仿宋" w:hAnsi="仿宋" w:eastAsia="仿宋" w:cs="仿宋"/>
          <w:kern w:val="0"/>
          <w:sz w:val="24"/>
        </w:rPr>
        <w:t>由同一单位或者个人编制；</w:t>
      </w:r>
    </w:p>
    <w:p w14:paraId="54D27539">
      <w:pPr>
        <w:widowControl/>
        <w:shd w:val="clear" w:color="auto" w:fill="FFFFFF"/>
        <w:wordWrap w:val="0"/>
        <w:spacing w:line="520" w:lineRule="atLeast"/>
        <w:ind w:firstLine="480" w:firstLineChars="200"/>
        <w:jc w:val="left"/>
        <w:rPr>
          <w:rFonts w:hint="eastAsia" w:ascii="仿宋" w:hAnsi="仿宋" w:eastAsia="仿宋" w:cs="仿宋"/>
          <w:kern w:val="0"/>
          <w:sz w:val="24"/>
        </w:rPr>
      </w:pPr>
      <w:r>
        <w:rPr>
          <w:rFonts w:hint="eastAsia" w:ascii="仿宋" w:hAnsi="仿宋" w:eastAsia="仿宋" w:cs="仿宋"/>
          <w:kern w:val="0"/>
          <w:sz w:val="24"/>
        </w:rPr>
        <w:t>2.不同供应商委托同一单位或者个人办理投标事宜；</w:t>
      </w:r>
    </w:p>
    <w:p w14:paraId="28E800BF">
      <w:pPr>
        <w:widowControl/>
        <w:shd w:val="clear" w:color="auto" w:fill="FFFFFF"/>
        <w:wordWrap w:val="0"/>
        <w:spacing w:line="520" w:lineRule="atLeast"/>
        <w:ind w:firstLine="480" w:firstLineChars="200"/>
        <w:jc w:val="left"/>
        <w:rPr>
          <w:rFonts w:hint="eastAsia" w:ascii="仿宋" w:hAnsi="仿宋" w:eastAsia="仿宋" w:cs="仿宋"/>
          <w:kern w:val="0"/>
          <w:sz w:val="24"/>
        </w:rPr>
      </w:pPr>
      <w:r>
        <w:rPr>
          <w:rFonts w:hint="eastAsia" w:ascii="仿宋" w:hAnsi="仿宋" w:eastAsia="仿宋" w:cs="仿宋"/>
          <w:kern w:val="0"/>
          <w:sz w:val="24"/>
        </w:rPr>
        <w:t>3.不同供应商的</w:t>
      </w:r>
      <w:r>
        <w:rPr>
          <w:rFonts w:hint="eastAsia" w:ascii="仿宋" w:hAnsi="仿宋" w:eastAsia="仿宋" w:cs="仿宋"/>
          <w:kern w:val="0"/>
          <w:sz w:val="24"/>
          <w:lang w:eastAsia="zh-CN"/>
        </w:rPr>
        <w:t>响应文件</w:t>
      </w:r>
      <w:r>
        <w:rPr>
          <w:rFonts w:hint="eastAsia" w:ascii="仿宋" w:hAnsi="仿宋" w:eastAsia="仿宋" w:cs="仿宋"/>
          <w:kern w:val="0"/>
          <w:sz w:val="24"/>
        </w:rPr>
        <w:t>载明的项目管理成员或者联系人员为同一人；</w:t>
      </w:r>
    </w:p>
    <w:p w14:paraId="67716E95">
      <w:pPr>
        <w:widowControl/>
        <w:shd w:val="clear" w:color="auto" w:fill="FFFFFF"/>
        <w:wordWrap w:val="0"/>
        <w:spacing w:line="520" w:lineRule="atLeast"/>
        <w:ind w:firstLine="480" w:firstLineChars="200"/>
        <w:jc w:val="left"/>
        <w:rPr>
          <w:rFonts w:hint="eastAsia" w:ascii="仿宋" w:hAnsi="仿宋" w:eastAsia="仿宋" w:cs="仿宋"/>
          <w:kern w:val="0"/>
          <w:sz w:val="24"/>
        </w:rPr>
      </w:pPr>
      <w:r>
        <w:rPr>
          <w:rFonts w:hint="eastAsia" w:ascii="仿宋" w:hAnsi="仿宋" w:eastAsia="仿宋" w:cs="仿宋"/>
          <w:kern w:val="0"/>
          <w:sz w:val="24"/>
        </w:rPr>
        <w:t>4.不同供应商的</w:t>
      </w:r>
      <w:r>
        <w:rPr>
          <w:rFonts w:hint="eastAsia" w:ascii="仿宋" w:hAnsi="仿宋" w:eastAsia="仿宋" w:cs="仿宋"/>
          <w:kern w:val="0"/>
          <w:sz w:val="24"/>
          <w:lang w:eastAsia="zh-CN"/>
        </w:rPr>
        <w:t>响应文件</w:t>
      </w:r>
      <w:r>
        <w:rPr>
          <w:rFonts w:hint="eastAsia" w:ascii="仿宋" w:hAnsi="仿宋" w:eastAsia="仿宋" w:cs="仿宋"/>
          <w:kern w:val="0"/>
          <w:sz w:val="24"/>
        </w:rPr>
        <w:t>异常一致或者投标报价呈规律性差异；</w:t>
      </w:r>
    </w:p>
    <w:p w14:paraId="05AC4A1C">
      <w:pPr>
        <w:widowControl/>
        <w:shd w:val="clear" w:color="auto" w:fill="FFFFFF"/>
        <w:wordWrap w:val="0"/>
        <w:spacing w:line="520" w:lineRule="atLeast"/>
        <w:ind w:firstLine="480" w:firstLineChars="200"/>
        <w:jc w:val="left"/>
        <w:rPr>
          <w:rFonts w:hint="eastAsia" w:ascii="仿宋" w:hAnsi="仿宋" w:eastAsia="仿宋" w:cs="仿宋"/>
          <w:kern w:val="0"/>
          <w:sz w:val="24"/>
        </w:rPr>
      </w:pPr>
      <w:r>
        <w:rPr>
          <w:rFonts w:hint="eastAsia" w:ascii="仿宋" w:hAnsi="仿宋" w:eastAsia="仿宋" w:cs="仿宋"/>
          <w:kern w:val="0"/>
          <w:sz w:val="24"/>
        </w:rPr>
        <w:t>5.不同供应商的</w:t>
      </w:r>
      <w:r>
        <w:rPr>
          <w:rFonts w:hint="eastAsia" w:ascii="仿宋" w:hAnsi="仿宋" w:eastAsia="仿宋" w:cs="仿宋"/>
          <w:kern w:val="0"/>
          <w:sz w:val="24"/>
          <w:lang w:eastAsia="zh-CN"/>
        </w:rPr>
        <w:t>响应文件</w:t>
      </w:r>
      <w:r>
        <w:rPr>
          <w:rFonts w:hint="eastAsia" w:ascii="仿宋" w:hAnsi="仿宋" w:eastAsia="仿宋" w:cs="仿宋"/>
          <w:kern w:val="0"/>
          <w:sz w:val="24"/>
        </w:rPr>
        <w:t>相互混装；</w:t>
      </w:r>
    </w:p>
    <w:p w14:paraId="3DA3D0F0">
      <w:pPr>
        <w:widowControl/>
        <w:shd w:val="clear" w:color="auto" w:fill="FFFFFF"/>
        <w:wordWrap w:val="0"/>
        <w:spacing w:line="520" w:lineRule="atLeast"/>
        <w:ind w:firstLine="480" w:firstLineChars="200"/>
        <w:jc w:val="left"/>
        <w:rPr>
          <w:rFonts w:hint="eastAsia" w:ascii="仿宋" w:hAnsi="仿宋" w:eastAsia="仿宋" w:cs="仿宋"/>
          <w:kern w:val="0"/>
          <w:sz w:val="24"/>
        </w:rPr>
      </w:pPr>
      <w:r>
        <w:rPr>
          <w:rFonts w:hint="eastAsia" w:ascii="仿宋" w:hAnsi="仿宋" w:eastAsia="仿宋" w:cs="仿宋"/>
          <w:kern w:val="0"/>
          <w:sz w:val="24"/>
        </w:rPr>
        <w:t>6.不同供应商的投标保证金从同一单位或者个人的账户转出；</w:t>
      </w:r>
    </w:p>
    <w:p w14:paraId="50936CF0">
      <w:pPr>
        <w:widowControl/>
        <w:shd w:val="clear" w:color="auto" w:fill="FFFFFF"/>
        <w:wordWrap w:val="0"/>
        <w:spacing w:line="520" w:lineRule="atLeast"/>
        <w:ind w:firstLine="480" w:firstLineChars="200"/>
        <w:jc w:val="left"/>
        <w:rPr>
          <w:rFonts w:hint="eastAsia" w:ascii="仿宋" w:hAnsi="仿宋" w:eastAsia="仿宋" w:cs="仿宋"/>
          <w:kern w:val="0"/>
          <w:sz w:val="24"/>
        </w:rPr>
      </w:pPr>
      <w:r>
        <w:rPr>
          <w:rFonts w:hint="eastAsia" w:ascii="仿宋" w:hAnsi="仿宋" w:eastAsia="仿宋" w:cs="仿宋"/>
          <w:kern w:val="0"/>
          <w:sz w:val="24"/>
        </w:rPr>
        <w:t>7.不同供应商的董事、监事、高管、单位负责人为同一人或者存在控股、管理关系的不同单位参加同一采购项目；</w:t>
      </w:r>
    </w:p>
    <w:p w14:paraId="42C726A7">
      <w:pPr>
        <w:widowControl/>
        <w:shd w:val="clear" w:color="auto" w:fill="FFFFFF"/>
        <w:wordWrap w:val="0"/>
        <w:spacing w:line="520" w:lineRule="atLeast"/>
        <w:ind w:firstLine="480" w:firstLineChars="200"/>
        <w:jc w:val="left"/>
        <w:rPr>
          <w:rFonts w:hint="eastAsia" w:ascii="仿宋" w:hAnsi="仿宋" w:eastAsia="仿宋" w:cs="仿宋"/>
          <w:kern w:val="0"/>
          <w:sz w:val="24"/>
        </w:rPr>
      </w:pPr>
      <w:r>
        <w:rPr>
          <w:rFonts w:hint="eastAsia" w:ascii="仿宋" w:hAnsi="仿宋" w:eastAsia="仿宋" w:cs="仿宋"/>
          <w:kern w:val="0"/>
          <w:sz w:val="24"/>
        </w:rPr>
        <w:t>8.供应商之间事先约定由某一特定供应商中标、成交；</w:t>
      </w:r>
    </w:p>
    <w:p w14:paraId="6D22AAFC">
      <w:pPr>
        <w:widowControl/>
        <w:shd w:val="clear" w:color="auto" w:fill="FFFFFF"/>
        <w:wordWrap w:val="0"/>
        <w:spacing w:line="520" w:lineRule="atLeast"/>
        <w:ind w:firstLine="480" w:firstLineChars="200"/>
        <w:jc w:val="left"/>
        <w:rPr>
          <w:rFonts w:hint="eastAsia" w:ascii="仿宋" w:hAnsi="仿宋" w:eastAsia="仿宋" w:cs="仿宋"/>
          <w:kern w:val="0"/>
          <w:sz w:val="24"/>
        </w:rPr>
      </w:pPr>
      <w:r>
        <w:rPr>
          <w:rFonts w:hint="eastAsia" w:ascii="仿宋" w:hAnsi="仿宋" w:eastAsia="仿宋" w:cs="仿宋"/>
          <w:kern w:val="0"/>
          <w:sz w:val="24"/>
        </w:rPr>
        <w:t>9.供应商之间商定部分供应商放弃参加采购活动或者放弃中标、成交；</w:t>
      </w:r>
    </w:p>
    <w:p w14:paraId="660668FA">
      <w:pPr>
        <w:widowControl/>
        <w:shd w:val="clear" w:color="auto" w:fill="FFFFFF"/>
        <w:wordWrap w:val="0"/>
        <w:spacing w:line="520" w:lineRule="atLeast"/>
        <w:ind w:firstLine="480" w:firstLineChars="200"/>
        <w:jc w:val="left"/>
        <w:rPr>
          <w:rFonts w:hint="eastAsia" w:ascii="仿宋" w:hAnsi="仿宋" w:eastAsia="仿宋" w:cs="仿宋"/>
          <w:kern w:val="0"/>
          <w:sz w:val="24"/>
        </w:rPr>
      </w:pPr>
      <w:r>
        <w:rPr>
          <w:rFonts w:hint="eastAsia" w:ascii="仿宋" w:hAnsi="仿宋" w:eastAsia="仿宋" w:cs="仿宋"/>
          <w:kern w:val="0"/>
          <w:sz w:val="24"/>
        </w:rPr>
        <w:t>10.法律法规界定的其他围标串标行为。</w:t>
      </w:r>
    </w:p>
    <w:p w14:paraId="1EF61A29">
      <w:pPr>
        <w:widowControl/>
        <w:shd w:val="clear" w:color="auto" w:fill="FFFFFF"/>
        <w:wordWrap w:val="0"/>
        <w:spacing w:line="520" w:lineRule="atLeast"/>
        <w:ind w:firstLine="480" w:firstLineChars="200"/>
        <w:jc w:val="left"/>
        <w:rPr>
          <w:rFonts w:hint="eastAsia" w:ascii="仿宋" w:hAnsi="仿宋" w:eastAsia="仿宋" w:cs="仿宋"/>
          <w:kern w:val="0"/>
          <w:sz w:val="24"/>
        </w:rPr>
      </w:pPr>
      <w:r>
        <w:rPr>
          <w:rFonts w:hint="eastAsia" w:ascii="仿宋" w:hAnsi="仿宋" w:eastAsia="仿宋" w:cs="仿宋"/>
          <w:kern w:val="0"/>
          <w:sz w:val="24"/>
        </w:rPr>
        <w:t>我公司承诺在本项目采购活动中，与采购人不存在关联关系，与其他投标单位不存在关联关系。如被查实在本项目采购活动中存在围标、串标的，本公司将承担法律责任，接受相应的法律法规处罚。</w:t>
      </w:r>
    </w:p>
    <w:p w14:paraId="62565A7A">
      <w:pPr>
        <w:widowControl/>
        <w:shd w:val="clear" w:color="auto" w:fill="FFFFFF"/>
        <w:wordWrap w:val="0"/>
        <w:spacing w:line="520" w:lineRule="atLeast"/>
        <w:ind w:firstLine="480" w:firstLineChars="200"/>
        <w:jc w:val="left"/>
        <w:rPr>
          <w:rFonts w:hint="eastAsia" w:ascii="仿宋" w:hAnsi="仿宋" w:eastAsia="仿宋" w:cs="仿宋"/>
          <w:kern w:val="0"/>
          <w:sz w:val="24"/>
        </w:rPr>
      </w:pPr>
    </w:p>
    <w:p w14:paraId="25D9F461">
      <w:pPr>
        <w:widowControl/>
        <w:shd w:val="clear" w:color="auto" w:fill="FFFFFF"/>
        <w:wordWrap w:val="0"/>
        <w:spacing w:line="520" w:lineRule="atLeast"/>
        <w:ind w:firstLine="480" w:firstLineChars="200"/>
        <w:jc w:val="left"/>
        <w:rPr>
          <w:rFonts w:hint="eastAsia" w:ascii="仿宋" w:hAnsi="仿宋" w:eastAsia="仿宋" w:cs="仿宋"/>
          <w:kern w:val="0"/>
          <w:sz w:val="24"/>
        </w:rPr>
      </w:pPr>
      <w:r>
        <w:rPr>
          <w:rFonts w:hint="eastAsia" w:ascii="仿宋" w:hAnsi="仿宋" w:eastAsia="仿宋" w:cs="仿宋"/>
          <w:kern w:val="0"/>
          <w:sz w:val="24"/>
        </w:rPr>
        <w:t>供应商法人代表或委托代理人（承诺人） ：</w:t>
      </w:r>
    </w:p>
    <w:p w14:paraId="358102F5">
      <w:pPr>
        <w:widowControl/>
        <w:shd w:val="clear" w:color="auto" w:fill="FFFFFF"/>
        <w:wordWrap w:val="0"/>
        <w:spacing w:line="520" w:lineRule="atLeast"/>
        <w:ind w:firstLine="480" w:firstLineChars="200"/>
        <w:jc w:val="left"/>
        <w:rPr>
          <w:rFonts w:hint="eastAsia" w:ascii="仿宋" w:hAnsi="仿宋" w:eastAsia="仿宋" w:cs="仿宋"/>
          <w:kern w:val="0"/>
          <w:sz w:val="24"/>
        </w:rPr>
      </w:pPr>
      <w:r>
        <w:rPr>
          <w:rFonts w:hint="eastAsia" w:ascii="仿宋" w:hAnsi="仿宋" w:eastAsia="仿宋" w:cs="仿宋"/>
          <w:kern w:val="0"/>
          <w:sz w:val="24"/>
        </w:rPr>
        <w:t xml:space="preserve">供应商：（公章）  </w:t>
      </w:r>
    </w:p>
    <w:p w14:paraId="315B430D">
      <w:pPr>
        <w:widowControl/>
        <w:shd w:val="clear" w:color="auto" w:fill="FFFFFF"/>
        <w:wordWrap w:val="0"/>
        <w:spacing w:line="520" w:lineRule="atLeast"/>
        <w:ind w:firstLine="480" w:firstLineChars="200"/>
        <w:jc w:val="left"/>
        <w:rPr>
          <w:rFonts w:hint="eastAsia" w:ascii="仿宋" w:hAnsi="仿宋" w:eastAsia="仿宋" w:cs="仿宋"/>
          <w:kern w:val="0"/>
          <w:sz w:val="24"/>
        </w:rPr>
      </w:pPr>
      <w:r>
        <w:rPr>
          <w:rFonts w:hint="eastAsia" w:ascii="仿宋" w:hAnsi="仿宋" w:eastAsia="仿宋" w:cs="仿宋"/>
          <w:kern w:val="0"/>
          <w:sz w:val="24"/>
        </w:rPr>
        <w:t>日期：   年    月    日</w:t>
      </w:r>
    </w:p>
    <w:p w14:paraId="15281F98">
      <w:pPr>
        <w:widowControl/>
        <w:shd w:val="clear" w:color="auto" w:fill="FFFFFF"/>
        <w:wordWrap w:val="0"/>
        <w:spacing w:line="520" w:lineRule="atLeast"/>
        <w:ind w:firstLine="420"/>
        <w:jc w:val="left"/>
        <w:rPr>
          <w:rFonts w:hint="eastAsia" w:ascii="仿宋" w:hAnsi="仿宋" w:eastAsia="仿宋" w:cs="仿宋"/>
          <w:kern w:val="0"/>
          <w:sz w:val="24"/>
        </w:rPr>
      </w:pPr>
    </w:p>
    <w:p w14:paraId="3F50C3D7">
      <w:pPr>
        <w:widowControl/>
        <w:shd w:val="clear" w:color="auto" w:fill="FFFFFF"/>
        <w:wordWrap w:val="0"/>
        <w:spacing w:line="520" w:lineRule="atLeast"/>
        <w:ind w:firstLine="420"/>
        <w:jc w:val="left"/>
        <w:rPr>
          <w:rFonts w:hint="eastAsia" w:ascii="仿宋" w:hAnsi="仿宋" w:eastAsia="仿宋" w:cs="仿宋"/>
          <w:kern w:val="0"/>
          <w:sz w:val="24"/>
        </w:rPr>
      </w:pPr>
    </w:p>
    <w:p w14:paraId="1875DCBC">
      <w:pPr>
        <w:rPr>
          <w:rFonts w:hint="eastAsia" w:ascii="仿宋" w:hAnsi="仿宋" w:eastAsia="仿宋" w:cs="仿宋"/>
          <w:bCs/>
          <w:kern w:val="0"/>
          <w:sz w:val="28"/>
          <w:szCs w:val="28"/>
        </w:rPr>
      </w:pPr>
      <w:r>
        <w:rPr>
          <w:rFonts w:hint="eastAsia" w:ascii="仿宋" w:hAnsi="仿宋" w:eastAsia="仿宋" w:cs="仿宋"/>
          <w:bCs/>
          <w:kern w:val="0"/>
          <w:sz w:val="28"/>
          <w:szCs w:val="28"/>
        </w:rPr>
        <w:br w:type="page"/>
      </w:r>
    </w:p>
    <w:p w14:paraId="7CA1D2AA">
      <w:pPr>
        <w:widowControl/>
        <w:adjustRightInd w:val="0"/>
        <w:snapToGrid w:val="0"/>
        <w:spacing w:line="580" w:lineRule="exact"/>
        <w:jc w:val="left"/>
        <w:outlineLvl w:val="0"/>
        <w:rPr>
          <w:rFonts w:hint="eastAsia" w:ascii="仿宋" w:hAnsi="仿宋" w:eastAsia="仿宋" w:cs="仿宋"/>
          <w:sz w:val="28"/>
          <w:szCs w:val="32"/>
        </w:rPr>
      </w:pPr>
      <w:r>
        <w:rPr>
          <w:rFonts w:hint="eastAsia" w:ascii="仿宋" w:hAnsi="仿宋" w:eastAsia="仿宋" w:cs="仿宋"/>
          <w:sz w:val="28"/>
          <w:szCs w:val="32"/>
        </w:rPr>
        <w:t>附件8：供应商遵守招标采购纪律承诺书</w:t>
      </w:r>
    </w:p>
    <w:p w14:paraId="671BB0B4">
      <w:pPr>
        <w:widowControl/>
        <w:spacing w:line="660" w:lineRule="exact"/>
        <w:jc w:val="center"/>
        <w:rPr>
          <w:rFonts w:hint="eastAsia" w:ascii="方正小标宋简体" w:hAnsi="仿宋" w:eastAsia="方正小标宋简体" w:cs="仿宋"/>
          <w:kern w:val="0"/>
          <w:sz w:val="44"/>
          <w:szCs w:val="44"/>
        </w:rPr>
      </w:pPr>
      <w:r>
        <w:rPr>
          <w:rFonts w:hint="eastAsia" w:ascii="方正小标宋简体" w:hAnsi="仿宋" w:eastAsia="方正小标宋简体" w:cs="仿宋"/>
          <w:kern w:val="0"/>
          <w:sz w:val="44"/>
          <w:szCs w:val="44"/>
        </w:rPr>
        <w:t>供应商遵守招标采购纪律承诺书</w:t>
      </w:r>
    </w:p>
    <w:p w14:paraId="2C56C76D">
      <w:pPr>
        <w:widowControl/>
        <w:shd w:val="clear" w:color="auto" w:fill="FFFFFF"/>
        <w:wordWrap w:val="0"/>
        <w:spacing w:line="520" w:lineRule="exact"/>
        <w:ind w:firstLine="480" w:firstLineChars="200"/>
        <w:jc w:val="left"/>
        <w:rPr>
          <w:rFonts w:hint="eastAsia" w:ascii="仿宋" w:hAnsi="仿宋" w:eastAsia="仿宋" w:cs="仿宋"/>
          <w:kern w:val="0"/>
          <w:sz w:val="24"/>
        </w:rPr>
      </w:pPr>
      <w:r>
        <w:rPr>
          <w:rFonts w:hint="eastAsia" w:ascii="仿宋" w:hAnsi="仿宋" w:eastAsia="仿宋" w:cs="仿宋"/>
          <w:kern w:val="0"/>
          <w:sz w:val="24"/>
        </w:rPr>
        <w:t>致四川省妇幼保健院：</w:t>
      </w:r>
    </w:p>
    <w:p w14:paraId="182D78DE">
      <w:pPr>
        <w:widowControl/>
        <w:shd w:val="clear" w:color="auto" w:fill="FFFFFF"/>
        <w:wordWrap w:val="0"/>
        <w:spacing w:line="520" w:lineRule="exact"/>
        <w:ind w:firstLine="480" w:firstLineChars="200"/>
        <w:jc w:val="left"/>
        <w:rPr>
          <w:rFonts w:hint="eastAsia" w:ascii="仿宋" w:hAnsi="仿宋" w:eastAsia="仿宋" w:cs="仿宋"/>
          <w:kern w:val="0"/>
          <w:sz w:val="24"/>
        </w:rPr>
      </w:pPr>
      <w:r>
        <w:rPr>
          <w:rFonts w:hint="eastAsia" w:ascii="仿宋" w:hAnsi="仿宋" w:eastAsia="仿宋" w:cs="仿宋"/>
          <w:kern w:val="0"/>
          <w:sz w:val="24"/>
        </w:rPr>
        <w:t>我单位作为本次采购项目的供应商，根据采购文件要求，现郑重承诺如下：</w:t>
      </w:r>
    </w:p>
    <w:p w14:paraId="23828F14">
      <w:pPr>
        <w:widowControl/>
        <w:shd w:val="clear" w:color="auto" w:fill="FFFFFF"/>
        <w:wordWrap w:val="0"/>
        <w:spacing w:line="520" w:lineRule="exact"/>
        <w:ind w:firstLine="480" w:firstLineChars="200"/>
        <w:jc w:val="left"/>
        <w:rPr>
          <w:rFonts w:hint="eastAsia" w:ascii="仿宋" w:hAnsi="仿宋" w:eastAsia="仿宋" w:cs="仿宋"/>
          <w:kern w:val="0"/>
          <w:sz w:val="24"/>
        </w:rPr>
      </w:pPr>
      <w:r>
        <w:rPr>
          <w:rFonts w:hint="eastAsia" w:ascii="仿宋" w:hAnsi="仿宋" w:eastAsia="仿宋" w:cs="仿宋"/>
          <w:kern w:val="0"/>
          <w:sz w:val="24"/>
        </w:rPr>
        <w:t>一、参加本次采购活动，我单位不存在与单位负责人为同一人或者存在直接控股、管理关系的其他供应商参与同一合同项下的采购活动的行为。</w:t>
      </w:r>
    </w:p>
    <w:p w14:paraId="62B7AF1B">
      <w:pPr>
        <w:widowControl/>
        <w:shd w:val="clear" w:color="auto" w:fill="FFFFFF"/>
        <w:wordWrap w:val="0"/>
        <w:spacing w:line="520" w:lineRule="exact"/>
        <w:ind w:firstLine="480" w:firstLineChars="200"/>
        <w:jc w:val="left"/>
        <w:rPr>
          <w:rFonts w:hint="eastAsia" w:ascii="仿宋" w:hAnsi="仿宋" w:eastAsia="仿宋" w:cs="仿宋"/>
          <w:kern w:val="0"/>
          <w:sz w:val="24"/>
        </w:rPr>
      </w:pPr>
      <w:r>
        <w:rPr>
          <w:rFonts w:hint="eastAsia" w:ascii="仿宋" w:hAnsi="仿宋" w:eastAsia="仿宋" w:cs="仿宋"/>
          <w:kern w:val="0"/>
          <w:sz w:val="24"/>
        </w:rPr>
        <w:t>二、参加本次采购活动，不得直接或者间接从采购人或者采购代理机构处获得其他供应商的相关情况并修改其</w:t>
      </w:r>
      <w:r>
        <w:rPr>
          <w:rFonts w:hint="eastAsia" w:ascii="仿宋" w:hAnsi="仿宋" w:eastAsia="仿宋" w:cs="仿宋"/>
          <w:kern w:val="0"/>
          <w:sz w:val="24"/>
          <w:lang w:eastAsia="zh-CN"/>
        </w:rPr>
        <w:t>响应文件</w:t>
      </w:r>
      <w:r>
        <w:rPr>
          <w:rFonts w:hint="eastAsia" w:ascii="仿宋" w:hAnsi="仿宋" w:eastAsia="仿宋" w:cs="仿宋"/>
          <w:kern w:val="0"/>
          <w:sz w:val="24"/>
        </w:rPr>
        <w:t>或者响应文件。</w:t>
      </w:r>
    </w:p>
    <w:p w14:paraId="3BC58B88">
      <w:pPr>
        <w:widowControl/>
        <w:shd w:val="clear" w:color="auto" w:fill="FFFFFF"/>
        <w:wordWrap w:val="0"/>
        <w:spacing w:line="520" w:lineRule="exact"/>
        <w:ind w:firstLine="480" w:firstLineChars="200"/>
        <w:jc w:val="left"/>
        <w:rPr>
          <w:rFonts w:hint="eastAsia" w:ascii="仿宋" w:hAnsi="仿宋" w:eastAsia="仿宋" w:cs="仿宋"/>
          <w:kern w:val="0"/>
          <w:sz w:val="24"/>
        </w:rPr>
      </w:pPr>
      <w:r>
        <w:rPr>
          <w:rFonts w:hint="eastAsia" w:ascii="仿宋" w:hAnsi="仿宋" w:eastAsia="仿宋" w:cs="仿宋"/>
          <w:kern w:val="0"/>
          <w:sz w:val="24"/>
        </w:rPr>
        <w:t>三、参加本次采购活动，不得按照采购人的授意撤换、修改</w:t>
      </w:r>
      <w:r>
        <w:rPr>
          <w:rFonts w:hint="eastAsia" w:ascii="仿宋" w:hAnsi="仿宋" w:eastAsia="仿宋" w:cs="仿宋"/>
          <w:kern w:val="0"/>
          <w:sz w:val="24"/>
          <w:lang w:eastAsia="zh-CN"/>
        </w:rPr>
        <w:t>响应文件</w:t>
      </w:r>
      <w:r>
        <w:rPr>
          <w:rFonts w:hint="eastAsia" w:ascii="仿宋" w:hAnsi="仿宋" w:eastAsia="仿宋" w:cs="仿宋"/>
          <w:kern w:val="0"/>
          <w:sz w:val="24"/>
        </w:rPr>
        <w:t>或者响应文件。</w:t>
      </w:r>
    </w:p>
    <w:p w14:paraId="2486A963">
      <w:pPr>
        <w:widowControl/>
        <w:shd w:val="clear" w:color="auto" w:fill="FFFFFF"/>
        <w:wordWrap w:val="0"/>
        <w:spacing w:line="520" w:lineRule="exact"/>
        <w:ind w:firstLine="480" w:firstLineChars="200"/>
        <w:jc w:val="left"/>
        <w:rPr>
          <w:rFonts w:hint="eastAsia" w:ascii="仿宋" w:hAnsi="仿宋" w:eastAsia="仿宋" w:cs="仿宋"/>
          <w:kern w:val="0"/>
          <w:sz w:val="24"/>
        </w:rPr>
      </w:pPr>
      <w:r>
        <w:rPr>
          <w:rFonts w:hint="eastAsia" w:ascii="仿宋" w:hAnsi="仿宋" w:eastAsia="仿宋" w:cs="仿宋"/>
          <w:kern w:val="0"/>
          <w:sz w:val="24"/>
        </w:rPr>
        <w:t>四、参加本次采购活动，不得和本次采购供应商之间协商报价、技术方案等</w:t>
      </w:r>
      <w:r>
        <w:rPr>
          <w:rFonts w:hint="eastAsia" w:ascii="仿宋" w:hAnsi="仿宋" w:eastAsia="仿宋" w:cs="仿宋"/>
          <w:kern w:val="0"/>
          <w:sz w:val="24"/>
          <w:lang w:eastAsia="zh-CN"/>
        </w:rPr>
        <w:t>响应文件</w:t>
      </w:r>
      <w:r>
        <w:rPr>
          <w:rFonts w:hint="eastAsia" w:ascii="仿宋" w:hAnsi="仿宋" w:eastAsia="仿宋" w:cs="仿宋"/>
          <w:kern w:val="0"/>
          <w:sz w:val="24"/>
        </w:rPr>
        <w:t>或者响应文件的实质性内容。</w:t>
      </w:r>
    </w:p>
    <w:p w14:paraId="5D1D11A8">
      <w:pPr>
        <w:widowControl/>
        <w:shd w:val="clear" w:color="auto" w:fill="FFFFFF"/>
        <w:wordWrap w:val="0"/>
        <w:spacing w:line="520" w:lineRule="exact"/>
        <w:ind w:firstLine="480" w:firstLineChars="200"/>
        <w:jc w:val="left"/>
        <w:rPr>
          <w:rFonts w:hint="eastAsia" w:ascii="仿宋" w:hAnsi="仿宋" w:eastAsia="仿宋" w:cs="仿宋"/>
          <w:kern w:val="0"/>
          <w:sz w:val="24"/>
        </w:rPr>
      </w:pPr>
      <w:r>
        <w:rPr>
          <w:rFonts w:hint="eastAsia" w:ascii="仿宋" w:hAnsi="仿宋" w:eastAsia="仿宋" w:cs="仿宋"/>
          <w:kern w:val="0"/>
          <w:sz w:val="24"/>
        </w:rPr>
        <w:t>五、本次采购活动中，不存在属于同一集团、协会、商会等组织成员的供应商按照该组织要求协同参加本次采购活动。</w:t>
      </w:r>
    </w:p>
    <w:p w14:paraId="3F3B39F1">
      <w:pPr>
        <w:widowControl/>
        <w:shd w:val="clear" w:color="auto" w:fill="FFFFFF"/>
        <w:wordWrap w:val="0"/>
        <w:spacing w:line="520" w:lineRule="exact"/>
        <w:ind w:firstLine="480" w:firstLineChars="200"/>
        <w:jc w:val="left"/>
        <w:rPr>
          <w:rFonts w:hint="eastAsia" w:ascii="仿宋" w:hAnsi="仿宋" w:eastAsia="仿宋" w:cs="仿宋"/>
          <w:kern w:val="0"/>
          <w:sz w:val="24"/>
        </w:rPr>
      </w:pPr>
      <w:r>
        <w:rPr>
          <w:rFonts w:hint="eastAsia" w:ascii="仿宋" w:hAnsi="仿宋" w:eastAsia="仿宋" w:cs="仿宋"/>
          <w:kern w:val="0"/>
          <w:sz w:val="24"/>
        </w:rPr>
        <w:t>六、参加本次采购活动，不存在与其他供应商之间事先约定由某一特定供应商中标、成交。</w:t>
      </w:r>
    </w:p>
    <w:p w14:paraId="5E2A9935">
      <w:pPr>
        <w:widowControl/>
        <w:shd w:val="clear" w:color="auto" w:fill="FFFFFF"/>
        <w:wordWrap w:val="0"/>
        <w:spacing w:line="520" w:lineRule="exact"/>
        <w:ind w:firstLine="480" w:firstLineChars="200"/>
        <w:jc w:val="left"/>
        <w:rPr>
          <w:rFonts w:hint="eastAsia" w:ascii="仿宋" w:hAnsi="仿宋" w:eastAsia="仿宋" w:cs="仿宋"/>
          <w:kern w:val="0"/>
          <w:sz w:val="24"/>
        </w:rPr>
      </w:pPr>
      <w:r>
        <w:rPr>
          <w:rFonts w:hint="eastAsia" w:ascii="仿宋" w:hAnsi="仿宋" w:eastAsia="仿宋" w:cs="仿宋"/>
          <w:kern w:val="0"/>
          <w:sz w:val="24"/>
        </w:rPr>
        <w:t>七、参加本次采购活动，不存在与其他供应商商定部分供应商放弃参加采购活动或者放弃中标、成交。</w:t>
      </w:r>
    </w:p>
    <w:p w14:paraId="23446B1C">
      <w:pPr>
        <w:widowControl/>
        <w:shd w:val="clear" w:color="auto" w:fill="FFFFFF"/>
        <w:wordWrap w:val="0"/>
        <w:spacing w:line="520" w:lineRule="exact"/>
        <w:ind w:firstLine="480" w:firstLineChars="200"/>
        <w:jc w:val="left"/>
        <w:rPr>
          <w:rFonts w:hint="eastAsia" w:ascii="仿宋" w:hAnsi="仿宋" w:eastAsia="仿宋" w:cs="仿宋"/>
          <w:kern w:val="0"/>
          <w:sz w:val="24"/>
        </w:rPr>
      </w:pPr>
      <w:r>
        <w:rPr>
          <w:rFonts w:hint="eastAsia" w:ascii="仿宋" w:hAnsi="仿宋" w:eastAsia="仿宋" w:cs="仿宋"/>
          <w:kern w:val="0"/>
          <w:sz w:val="24"/>
        </w:rPr>
        <w:t>八、参加本次采购活动，不存在我单位的</w:t>
      </w:r>
      <w:r>
        <w:rPr>
          <w:rFonts w:hint="eastAsia" w:ascii="仿宋" w:hAnsi="仿宋" w:eastAsia="仿宋" w:cs="仿宋"/>
          <w:kern w:val="0"/>
          <w:sz w:val="24"/>
          <w:lang w:eastAsia="zh-CN"/>
        </w:rPr>
        <w:t>响应文件</w:t>
      </w:r>
      <w:r>
        <w:rPr>
          <w:rFonts w:hint="eastAsia" w:ascii="仿宋" w:hAnsi="仿宋" w:eastAsia="仿宋" w:cs="仿宋"/>
          <w:kern w:val="0"/>
          <w:sz w:val="24"/>
        </w:rPr>
        <w:t>或者响应文件由其他参与本项目的单位或个人编制或委托办理投标事宜。</w:t>
      </w:r>
    </w:p>
    <w:p w14:paraId="12CDD762">
      <w:pPr>
        <w:widowControl/>
        <w:shd w:val="clear" w:color="auto" w:fill="FFFFFF"/>
        <w:wordWrap w:val="0"/>
        <w:spacing w:line="520" w:lineRule="exact"/>
        <w:ind w:firstLine="480" w:firstLineChars="200"/>
        <w:jc w:val="left"/>
        <w:rPr>
          <w:rFonts w:hint="eastAsia" w:ascii="仿宋" w:hAnsi="仿宋" w:eastAsia="仿宋" w:cs="仿宋"/>
          <w:kern w:val="0"/>
          <w:sz w:val="24"/>
        </w:rPr>
      </w:pPr>
      <w:r>
        <w:rPr>
          <w:rFonts w:hint="eastAsia" w:ascii="仿宋" w:hAnsi="仿宋" w:eastAsia="仿宋" w:cs="仿宋"/>
          <w:kern w:val="0"/>
          <w:sz w:val="24"/>
        </w:rPr>
        <w:t>九、参加本次采购活动，不存在我单位与采购人之间、供应商相互之间，为谋求特定供应商中标、成交或者排斥其他供应商的其他串通行为。</w:t>
      </w:r>
    </w:p>
    <w:p w14:paraId="7DCC85A4">
      <w:pPr>
        <w:widowControl/>
        <w:shd w:val="clear" w:color="auto" w:fill="FFFFFF"/>
        <w:wordWrap w:val="0"/>
        <w:spacing w:line="520" w:lineRule="exact"/>
        <w:ind w:firstLine="480" w:firstLineChars="200"/>
        <w:jc w:val="left"/>
        <w:rPr>
          <w:rFonts w:hint="eastAsia" w:ascii="仿宋" w:hAnsi="仿宋" w:eastAsia="仿宋" w:cs="仿宋"/>
          <w:kern w:val="0"/>
          <w:sz w:val="24"/>
        </w:rPr>
      </w:pPr>
      <w:r>
        <w:rPr>
          <w:rFonts w:hint="eastAsia" w:ascii="仿宋" w:hAnsi="仿宋" w:eastAsia="仿宋" w:cs="仿宋"/>
          <w:kern w:val="0"/>
          <w:sz w:val="24"/>
        </w:rPr>
        <w:t>十、与我方存在直接控股关系的单位为：_______________；</w:t>
      </w:r>
    </w:p>
    <w:p w14:paraId="2A2FE9E1">
      <w:pPr>
        <w:widowControl/>
        <w:shd w:val="clear" w:color="auto" w:fill="FFFFFF"/>
        <w:wordWrap w:val="0"/>
        <w:spacing w:line="520" w:lineRule="exact"/>
        <w:ind w:firstLine="480" w:firstLineChars="200"/>
        <w:jc w:val="left"/>
        <w:rPr>
          <w:rFonts w:hint="eastAsia" w:ascii="仿宋" w:hAnsi="仿宋" w:eastAsia="仿宋" w:cs="仿宋"/>
          <w:kern w:val="0"/>
          <w:sz w:val="24"/>
        </w:rPr>
      </w:pPr>
      <w:r>
        <w:rPr>
          <w:rFonts w:hint="eastAsia" w:ascii="仿宋" w:hAnsi="仿宋" w:eastAsia="仿宋" w:cs="仿宋"/>
          <w:kern w:val="0"/>
          <w:sz w:val="24"/>
        </w:rPr>
        <w:t>存在管理关系单位为：____________________________。</w:t>
      </w:r>
    </w:p>
    <w:p w14:paraId="0B2C159D">
      <w:pPr>
        <w:widowControl/>
        <w:shd w:val="clear" w:color="auto" w:fill="FFFFFF"/>
        <w:wordWrap w:val="0"/>
        <w:spacing w:line="520" w:lineRule="exact"/>
        <w:ind w:firstLine="480" w:firstLineChars="200"/>
        <w:jc w:val="left"/>
        <w:rPr>
          <w:rFonts w:hint="eastAsia" w:ascii="仿宋" w:hAnsi="仿宋" w:eastAsia="仿宋" w:cs="仿宋"/>
          <w:kern w:val="0"/>
          <w:sz w:val="24"/>
        </w:rPr>
      </w:pPr>
    </w:p>
    <w:p w14:paraId="3545D658">
      <w:pPr>
        <w:widowControl/>
        <w:shd w:val="clear" w:color="auto" w:fill="FFFFFF"/>
        <w:wordWrap w:val="0"/>
        <w:spacing w:line="520" w:lineRule="exact"/>
        <w:ind w:firstLine="480" w:firstLineChars="200"/>
        <w:jc w:val="left"/>
        <w:rPr>
          <w:rFonts w:hint="eastAsia" w:ascii="仿宋" w:hAnsi="仿宋" w:eastAsia="仿宋" w:cs="仿宋"/>
          <w:kern w:val="0"/>
          <w:sz w:val="24"/>
        </w:rPr>
      </w:pPr>
      <w:r>
        <w:rPr>
          <w:rFonts w:hint="eastAsia" w:ascii="仿宋" w:hAnsi="仿宋" w:eastAsia="仿宋" w:cs="仿宋"/>
          <w:kern w:val="0"/>
          <w:sz w:val="24"/>
        </w:rPr>
        <w:t>我单位对上述承诺的内容事项真实性负责并接受评审小组对我单位</w:t>
      </w:r>
      <w:r>
        <w:rPr>
          <w:rFonts w:hint="eastAsia" w:ascii="仿宋" w:hAnsi="仿宋" w:eastAsia="仿宋" w:cs="仿宋"/>
          <w:kern w:val="0"/>
          <w:sz w:val="24"/>
          <w:lang w:eastAsia="zh-CN"/>
        </w:rPr>
        <w:t>响应文件</w:t>
      </w:r>
      <w:r>
        <w:rPr>
          <w:rFonts w:hint="eastAsia" w:ascii="仿宋" w:hAnsi="仿宋" w:eastAsia="仿宋" w:cs="仿宋"/>
          <w:kern w:val="0"/>
          <w:sz w:val="24"/>
        </w:rPr>
        <w:t>或者响应文件关于串通投标的审查。如经查实上述承诺的内容事项存在虚假，我单位愿意接受以提供虚假材料谋取成交追究法律责任。</w:t>
      </w:r>
    </w:p>
    <w:p w14:paraId="533CAB2F">
      <w:pPr>
        <w:widowControl/>
        <w:shd w:val="clear" w:color="auto" w:fill="FFFFFF"/>
        <w:wordWrap w:val="0"/>
        <w:spacing w:line="520" w:lineRule="exact"/>
        <w:ind w:firstLine="480" w:firstLineChars="200"/>
        <w:jc w:val="left"/>
        <w:rPr>
          <w:rFonts w:hint="eastAsia" w:ascii="仿宋" w:hAnsi="仿宋" w:eastAsia="仿宋" w:cs="仿宋"/>
          <w:kern w:val="0"/>
          <w:sz w:val="24"/>
        </w:rPr>
      </w:pPr>
    </w:p>
    <w:p w14:paraId="59801346">
      <w:pPr>
        <w:widowControl/>
        <w:shd w:val="clear" w:color="auto" w:fill="FFFFFF"/>
        <w:wordWrap w:val="0"/>
        <w:spacing w:line="520" w:lineRule="exact"/>
        <w:ind w:firstLine="480" w:firstLineChars="200"/>
        <w:jc w:val="left"/>
        <w:rPr>
          <w:rFonts w:hint="eastAsia" w:ascii="仿宋" w:hAnsi="仿宋" w:eastAsia="仿宋" w:cs="仿宋"/>
          <w:kern w:val="0"/>
          <w:sz w:val="24"/>
        </w:rPr>
      </w:pPr>
      <w:r>
        <w:rPr>
          <w:rFonts w:hint="eastAsia" w:ascii="仿宋" w:hAnsi="仿宋" w:eastAsia="仿宋" w:cs="仿宋"/>
          <w:kern w:val="0"/>
          <w:sz w:val="24"/>
        </w:rPr>
        <w:t xml:space="preserve">供应商名称（单位公章）：                 年    月   日      </w:t>
      </w:r>
    </w:p>
    <w:p w14:paraId="21703F2C">
      <w:pPr>
        <w:widowControl/>
        <w:shd w:val="clear" w:color="auto" w:fill="FFFFFF"/>
        <w:wordWrap w:val="0"/>
        <w:spacing w:line="520" w:lineRule="exact"/>
        <w:ind w:firstLine="480" w:firstLineChars="200"/>
        <w:jc w:val="left"/>
        <w:rPr>
          <w:rFonts w:hint="eastAsia" w:ascii="仿宋" w:hAnsi="仿宋" w:eastAsia="仿宋" w:cs="仿宋"/>
          <w:kern w:val="0"/>
          <w:sz w:val="24"/>
        </w:rPr>
      </w:pPr>
      <w:r>
        <w:rPr>
          <w:rFonts w:hint="eastAsia" w:ascii="仿宋" w:hAnsi="仿宋" w:eastAsia="仿宋" w:cs="仿宋"/>
          <w:kern w:val="0"/>
          <w:sz w:val="24"/>
        </w:rPr>
        <w:t>法定代表人/单位负责人或授权代表</w:t>
      </w:r>
    </w:p>
    <w:p w14:paraId="6A342D2F">
      <w:pPr>
        <w:widowControl/>
        <w:shd w:val="clear" w:color="auto" w:fill="FFFFFF"/>
        <w:wordWrap w:val="0"/>
        <w:spacing w:line="520" w:lineRule="exact"/>
        <w:ind w:firstLine="480" w:firstLineChars="200"/>
        <w:jc w:val="left"/>
        <w:rPr>
          <w:rFonts w:hint="eastAsia" w:ascii="仿宋" w:hAnsi="仿宋" w:eastAsia="仿宋" w:cs="仿宋"/>
          <w:kern w:val="0"/>
          <w:sz w:val="24"/>
        </w:rPr>
      </w:pPr>
      <w:r>
        <w:rPr>
          <w:rFonts w:hint="eastAsia" w:ascii="仿宋" w:hAnsi="仿宋" w:eastAsia="仿宋" w:cs="仿宋"/>
          <w:kern w:val="0"/>
          <w:sz w:val="24"/>
        </w:rPr>
        <w:t xml:space="preserve">（签字或加盖个人名章）：        </w:t>
      </w:r>
    </w:p>
    <w:p w14:paraId="6EB658BC">
      <w:pPr>
        <w:widowControl/>
        <w:shd w:val="clear" w:color="auto" w:fill="FFFFFF"/>
        <w:wordWrap w:val="0"/>
        <w:spacing w:line="400" w:lineRule="exact"/>
        <w:ind w:firstLine="420"/>
        <w:jc w:val="left"/>
        <w:rPr>
          <w:rFonts w:hint="eastAsia" w:ascii="仿宋" w:hAnsi="仿宋" w:eastAsia="仿宋" w:cs="仿宋"/>
          <w:kern w:val="0"/>
          <w:sz w:val="24"/>
        </w:rPr>
      </w:pPr>
      <w:r>
        <w:rPr>
          <w:rFonts w:hint="eastAsia" w:ascii="仿宋" w:hAnsi="仿宋" w:eastAsia="仿宋" w:cs="仿宋"/>
          <w:kern w:val="0"/>
          <w:sz w:val="24"/>
        </w:rPr>
        <w:t xml:space="preserve"> </w:t>
      </w:r>
    </w:p>
    <w:p w14:paraId="64771D61">
      <w:pPr>
        <w:widowControl/>
        <w:shd w:val="clear" w:color="auto" w:fill="FFFFFF"/>
        <w:wordWrap w:val="0"/>
        <w:spacing w:line="520" w:lineRule="exact"/>
        <w:ind w:firstLine="480" w:firstLineChars="200"/>
        <w:jc w:val="left"/>
        <w:rPr>
          <w:rFonts w:hint="eastAsia" w:ascii="仿宋" w:hAnsi="仿宋" w:eastAsia="仿宋" w:cs="仿宋"/>
          <w:kern w:val="0"/>
          <w:sz w:val="24"/>
        </w:rPr>
      </w:pPr>
      <w:r>
        <w:rPr>
          <w:rFonts w:hint="eastAsia" w:ascii="仿宋" w:hAnsi="仿宋" w:eastAsia="仿宋" w:cs="仿宋"/>
          <w:kern w:val="0"/>
          <w:sz w:val="24"/>
        </w:rPr>
        <w:t>注：</w:t>
      </w:r>
    </w:p>
    <w:p w14:paraId="48AF0075">
      <w:pPr>
        <w:widowControl/>
        <w:shd w:val="clear" w:color="auto" w:fill="FFFFFF"/>
        <w:wordWrap w:val="0"/>
        <w:spacing w:line="520" w:lineRule="exact"/>
        <w:ind w:firstLine="480" w:firstLineChars="200"/>
        <w:jc w:val="left"/>
        <w:rPr>
          <w:rFonts w:hint="eastAsia" w:ascii="仿宋" w:hAnsi="仿宋" w:eastAsia="仿宋" w:cs="仿宋"/>
          <w:kern w:val="0"/>
          <w:sz w:val="24"/>
        </w:rPr>
      </w:pPr>
      <w:r>
        <w:rPr>
          <w:rFonts w:hint="eastAsia" w:ascii="仿宋" w:hAnsi="仿宋" w:eastAsia="仿宋" w:cs="仿宋"/>
          <w:kern w:val="0"/>
          <w:sz w:val="24"/>
        </w:rPr>
        <w:t>1.“负责人”是指单位法定代表人或者法律、行政法规规定代表单位行使职权的主要负责人。</w:t>
      </w:r>
    </w:p>
    <w:p w14:paraId="7CB169C2">
      <w:pPr>
        <w:widowControl/>
        <w:shd w:val="clear" w:color="auto" w:fill="FFFFFF"/>
        <w:wordWrap w:val="0"/>
        <w:spacing w:line="520" w:lineRule="exact"/>
        <w:ind w:firstLine="480" w:firstLineChars="200"/>
        <w:jc w:val="left"/>
        <w:rPr>
          <w:rFonts w:hint="eastAsia" w:ascii="仿宋" w:hAnsi="仿宋" w:eastAsia="仿宋" w:cs="仿宋"/>
          <w:kern w:val="0"/>
          <w:sz w:val="24"/>
        </w:rPr>
      </w:pPr>
      <w:r>
        <w:rPr>
          <w:rFonts w:hint="eastAsia" w:ascii="仿宋" w:hAnsi="仿宋" w:eastAsia="仿宋" w:cs="仿宋"/>
          <w:kern w:val="0"/>
          <w:sz w:val="24"/>
        </w:rPr>
        <w:t>2.“控股”是指出资额占有限责任公司资本总额百分之五十以上或者其持有的股份占股份有限公司股本总额百分之五十以上的，以及出资额或者持有股份的比例虽然不足百分之五十，但依其出资额或者持有的股份所享有的表决权已足以对股东会、股东大会的决议产生重大影响。</w:t>
      </w:r>
    </w:p>
    <w:p w14:paraId="3D332ED6">
      <w:pPr>
        <w:widowControl/>
        <w:shd w:val="clear" w:color="auto" w:fill="FFFFFF"/>
        <w:wordWrap w:val="0"/>
        <w:spacing w:line="520" w:lineRule="exact"/>
        <w:ind w:firstLine="480" w:firstLineChars="200"/>
        <w:jc w:val="left"/>
        <w:rPr>
          <w:rFonts w:hint="eastAsia" w:ascii="仿宋" w:hAnsi="仿宋" w:eastAsia="仿宋" w:cs="仿宋"/>
          <w:kern w:val="0"/>
          <w:sz w:val="24"/>
        </w:rPr>
      </w:pPr>
      <w:r>
        <w:rPr>
          <w:rFonts w:hint="eastAsia" w:ascii="仿宋" w:hAnsi="仿宋" w:eastAsia="仿宋" w:cs="仿宋"/>
          <w:kern w:val="0"/>
          <w:sz w:val="24"/>
        </w:rPr>
        <w:t>3.“管理关系”是指与不具有出资持股关系的单位之间存在的其他管理与被管理关系。</w:t>
      </w:r>
    </w:p>
    <w:p w14:paraId="20C85F6B">
      <w:pPr>
        <w:rPr>
          <w:rFonts w:hint="eastAsia" w:ascii="仿宋" w:hAnsi="仿宋" w:eastAsia="仿宋" w:cs="仿宋"/>
          <w:kern w:val="0"/>
          <w:sz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EFAD6556-99CC-41F8-AD1D-4DA66E1B50EF}"/>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486DCB5E-8A58-46C2-B320-E79CB95F502F}"/>
  </w:font>
  <w:font w:name="Calibri Light">
    <w:panose1 w:val="020F03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Arial Unicode MS">
    <w:altName w:val="宋体"/>
    <w:panose1 w:val="020B0604020202020204"/>
    <w:charset w:val="86"/>
    <w:family w:val="swiss"/>
    <w:pitch w:val="default"/>
    <w:sig w:usb0="00000000" w:usb1="00000000" w:usb2="0000007F" w:usb3="00000000" w:csb0="203F01FF" w:csb1="DFFF0000"/>
  </w:font>
  <w:font w:name="仿宋">
    <w:panose1 w:val="02010609060101010101"/>
    <w:charset w:val="86"/>
    <w:family w:val="modern"/>
    <w:pitch w:val="default"/>
    <w:sig w:usb0="800002BF" w:usb1="38CF7CFA" w:usb2="00000016" w:usb3="00000000" w:csb0="00040001" w:csb1="00000000"/>
    <w:embedRegular r:id="rId3" w:fontKey="{E09A9586-E935-43BE-B23E-6B238CA030EA}"/>
  </w:font>
  <w:font w:name="方正公文小标宋">
    <w:panose1 w:val="02000500000000000000"/>
    <w:charset w:val="86"/>
    <w:family w:val="auto"/>
    <w:pitch w:val="default"/>
    <w:sig w:usb0="A00002BF" w:usb1="38CF7CFA" w:usb2="00000016" w:usb3="00000000" w:csb0="00040001" w:csb1="00000000"/>
    <w:embedRegular r:id="rId4" w:fontKey="{6DA5D6EA-8205-41A9-8DD7-54CCC0706DF4}"/>
  </w:font>
  <w:font w:name="方正小标宋简体">
    <w:panose1 w:val="02010601030101010101"/>
    <w:charset w:val="86"/>
    <w:family w:val="auto"/>
    <w:pitch w:val="default"/>
    <w:sig w:usb0="00000001" w:usb1="080E0000" w:usb2="00000000" w:usb3="00000000" w:csb0="00040000" w:csb1="00000000"/>
  </w:font>
  <w:font w:name="WPSEMBED1">
    <w:panose1 w:val="02000500000000000000"/>
    <w:charset w:val="86"/>
    <w:family w:val="auto"/>
    <w:pitch w:val="default"/>
    <w:sig w:usb0="A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064068">
    <w:pPr>
      <w:pStyle w:val="10"/>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04E66E3">
                          <w:pPr>
                            <w:pStyle w:val="10"/>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OguJYsAgAAV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UgdJtlYasfLI/Q&#10;UTxvV4cAAZOuUZROiV4r9FuqTD8bsaH/3Keop//B8h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g6C4liwCAABXBAAADgAAAAAAAAABACAAAAAfAQAAZHJzL2Uyb0RvYy54bWxQSwUGAAAAAAYA&#10;BgBZAQAAvQUAAAAA&#10;">
              <v:fill on="f" focussize="0,0"/>
              <v:stroke on="f" weight="0.5pt"/>
              <v:imagedata o:title=""/>
              <o:lock v:ext="edit" aspectratio="f"/>
              <v:textbox inset="0mm,0mm,0mm,0mm" style="mso-fit-shape-to-text:t;">
                <w:txbxContent>
                  <w:p w14:paraId="304E66E3">
                    <w:pPr>
                      <w:pStyle w:val="10"/>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A5AE17C"/>
    <w:multiLevelType w:val="singleLevel"/>
    <w:tmpl w:val="AA5AE17C"/>
    <w:lvl w:ilvl="0" w:tentative="0">
      <w:start w:val="1"/>
      <w:numFmt w:val="bullet"/>
      <w:pStyle w:val="8"/>
      <w:lvlText w:val=""/>
      <w:lvlJc w:val="left"/>
      <w:pPr>
        <w:tabs>
          <w:tab w:val="left" w:pos="2040"/>
        </w:tabs>
        <w:ind w:left="2040" w:hanging="360"/>
      </w:pPr>
      <w:rPr>
        <w:rFonts w:hint="default" w:ascii="Wingdings" w:hAnsi="Wingdings"/>
      </w:rPr>
    </w:lvl>
  </w:abstractNum>
  <w:abstractNum w:abstractNumId="1">
    <w:nsid w:val="346C5CA9"/>
    <w:multiLevelType w:val="multilevel"/>
    <w:tmpl w:val="346C5CA9"/>
    <w:lvl w:ilvl="0" w:tentative="0">
      <w:start w:val="1"/>
      <w:numFmt w:val="bullet"/>
      <w:pStyle w:val="21"/>
      <w:lvlText w:val="-"/>
      <w:lvlJc w:val="left"/>
      <w:pPr>
        <w:tabs>
          <w:tab w:val="left" w:pos="927"/>
        </w:tabs>
        <w:ind w:left="562" w:firstLine="5"/>
      </w:pPr>
      <w:rPr>
        <w:rFonts w:hint="eastAsia" w:ascii="宋体" w:hAnsi="Wingdings" w:eastAsia="宋体"/>
        <w:lang w:eastAsia="zh-CN"/>
      </w:rPr>
    </w:lvl>
    <w:lvl w:ilvl="1" w:tentative="0">
      <w:start w:val="1"/>
      <w:numFmt w:val="bullet"/>
      <w:lvlText w:val=""/>
      <w:lvlJc w:val="left"/>
      <w:pPr>
        <w:tabs>
          <w:tab w:val="left" w:pos="3360"/>
        </w:tabs>
        <w:ind w:left="3360" w:hanging="420"/>
      </w:pPr>
      <w:rPr>
        <w:rFonts w:hint="default" w:ascii="Wingdings" w:hAnsi="Wingdings"/>
      </w:rPr>
    </w:lvl>
    <w:lvl w:ilvl="2" w:tentative="0">
      <w:start w:val="1"/>
      <w:numFmt w:val="bullet"/>
      <w:lvlText w:val=""/>
      <w:lvlJc w:val="left"/>
      <w:pPr>
        <w:tabs>
          <w:tab w:val="left" w:pos="3780"/>
        </w:tabs>
        <w:ind w:left="3780" w:hanging="420"/>
      </w:pPr>
      <w:rPr>
        <w:rFonts w:hint="default" w:ascii="Wingdings" w:hAnsi="Wingdings"/>
      </w:rPr>
    </w:lvl>
    <w:lvl w:ilvl="3" w:tentative="0">
      <w:start w:val="1"/>
      <w:numFmt w:val="bullet"/>
      <w:lvlText w:val=""/>
      <w:lvlJc w:val="left"/>
      <w:pPr>
        <w:tabs>
          <w:tab w:val="left" w:pos="4200"/>
        </w:tabs>
        <w:ind w:left="4200" w:hanging="420"/>
      </w:pPr>
      <w:rPr>
        <w:rFonts w:hint="default" w:ascii="Wingdings" w:hAnsi="Wingdings"/>
      </w:rPr>
    </w:lvl>
    <w:lvl w:ilvl="4" w:tentative="0">
      <w:start w:val="1"/>
      <w:numFmt w:val="bullet"/>
      <w:lvlText w:val=""/>
      <w:lvlJc w:val="left"/>
      <w:pPr>
        <w:tabs>
          <w:tab w:val="left" w:pos="4620"/>
        </w:tabs>
        <w:ind w:left="4620" w:hanging="420"/>
      </w:pPr>
      <w:rPr>
        <w:rFonts w:hint="default" w:ascii="Wingdings" w:hAnsi="Wingdings"/>
      </w:rPr>
    </w:lvl>
    <w:lvl w:ilvl="5" w:tentative="0">
      <w:start w:val="1"/>
      <w:numFmt w:val="bullet"/>
      <w:lvlText w:val=""/>
      <w:lvlJc w:val="left"/>
      <w:pPr>
        <w:tabs>
          <w:tab w:val="left" w:pos="5040"/>
        </w:tabs>
        <w:ind w:left="5040" w:hanging="420"/>
      </w:pPr>
      <w:rPr>
        <w:rFonts w:hint="default" w:ascii="Wingdings" w:hAnsi="Wingdings"/>
      </w:rPr>
    </w:lvl>
    <w:lvl w:ilvl="6" w:tentative="0">
      <w:start w:val="1"/>
      <w:numFmt w:val="bullet"/>
      <w:lvlText w:val=""/>
      <w:lvlJc w:val="left"/>
      <w:pPr>
        <w:tabs>
          <w:tab w:val="left" w:pos="5460"/>
        </w:tabs>
        <w:ind w:left="5460" w:hanging="420"/>
      </w:pPr>
      <w:rPr>
        <w:rFonts w:hint="default" w:ascii="Wingdings" w:hAnsi="Wingdings"/>
      </w:rPr>
    </w:lvl>
    <w:lvl w:ilvl="7" w:tentative="0">
      <w:start w:val="1"/>
      <w:numFmt w:val="bullet"/>
      <w:lvlText w:val=""/>
      <w:lvlJc w:val="left"/>
      <w:pPr>
        <w:tabs>
          <w:tab w:val="left" w:pos="5880"/>
        </w:tabs>
        <w:ind w:left="5880" w:hanging="420"/>
      </w:pPr>
      <w:rPr>
        <w:rFonts w:hint="default" w:ascii="Wingdings" w:hAnsi="Wingdings"/>
      </w:rPr>
    </w:lvl>
    <w:lvl w:ilvl="8" w:tentative="0">
      <w:start w:val="1"/>
      <w:numFmt w:val="bullet"/>
      <w:lvlText w:val=""/>
      <w:lvlJc w:val="left"/>
      <w:pPr>
        <w:tabs>
          <w:tab w:val="left" w:pos="6300"/>
        </w:tabs>
        <w:ind w:left="6300" w:hanging="420"/>
      </w:pPr>
      <w:rPr>
        <w:rFonts w:hint="default" w:ascii="Wingdings" w:hAnsi="Wingdings"/>
      </w:rPr>
    </w:lvl>
  </w:abstractNum>
  <w:abstractNum w:abstractNumId="2">
    <w:nsid w:val="55C624B3"/>
    <w:multiLevelType w:val="singleLevel"/>
    <w:tmpl w:val="55C624B3"/>
    <w:lvl w:ilvl="0" w:tentative="0">
      <w:start w:val="1"/>
      <w:numFmt w:val="decimal"/>
      <w:lvlText w:val="%1."/>
      <w:lvlJc w:val="left"/>
      <w:pPr>
        <w:ind w:left="425" w:hanging="425"/>
      </w:pPr>
      <w:rPr>
        <w:rFont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ED4DAE"/>
    <w:rsid w:val="000A14DB"/>
    <w:rsid w:val="001373A6"/>
    <w:rsid w:val="00154B06"/>
    <w:rsid w:val="00164C26"/>
    <w:rsid w:val="001C7594"/>
    <w:rsid w:val="0022331A"/>
    <w:rsid w:val="00265BC6"/>
    <w:rsid w:val="00295872"/>
    <w:rsid w:val="002B7EC8"/>
    <w:rsid w:val="00365A0D"/>
    <w:rsid w:val="00374536"/>
    <w:rsid w:val="00384B9C"/>
    <w:rsid w:val="003A4060"/>
    <w:rsid w:val="0040742B"/>
    <w:rsid w:val="004D44CB"/>
    <w:rsid w:val="0053572B"/>
    <w:rsid w:val="00542BCC"/>
    <w:rsid w:val="005E4930"/>
    <w:rsid w:val="00651276"/>
    <w:rsid w:val="00672AC8"/>
    <w:rsid w:val="006B24A0"/>
    <w:rsid w:val="006E0231"/>
    <w:rsid w:val="006F4210"/>
    <w:rsid w:val="00704EEF"/>
    <w:rsid w:val="00776C41"/>
    <w:rsid w:val="007A6930"/>
    <w:rsid w:val="0087103C"/>
    <w:rsid w:val="0091292F"/>
    <w:rsid w:val="009943FC"/>
    <w:rsid w:val="009F512D"/>
    <w:rsid w:val="00A739E8"/>
    <w:rsid w:val="00AC62EE"/>
    <w:rsid w:val="00AD3446"/>
    <w:rsid w:val="00B6536C"/>
    <w:rsid w:val="00B66042"/>
    <w:rsid w:val="00BA1A55"/>
    <w:rsid w:val="00BE01F6"/>
    <w:rsid w:val="00BF03DC"/>
    <w:rsid w:val="00C14622"/>
    <w:rsid w:val="00C57A12"/>
    <w:rsid w:val="00D0572E"/>
    <w:rsid w:val="00D20B4D"/>
    <w:rsid w:val="00D64AE1"/>
    <w:rsid w:val="00D9079C"/>
    <w:rsid w:val="00DE38D4"/>
    <w:rsid w:val="00DE700C"/>
    <w:rsid w:val="00E407C3"/>
    <w:rsid w:val="00E543ED"/>
    <w:rsid w:val="00E639E0"/>
    <w:rsid w:val="00E63FC4"/>
    <w:rsid w:val="00EA2FD7"/>
    <w:rsid w:val="00EC5179"/>
    <w:rsid w:val="00F50453"/>
    <w:rsid w:val="00FD7B33"/>
    <w:rsid w:val="00FF435C"/>
    <w:rsid w:val="01DC0C1D"/>
    <w:rsid w:val="02315D47"/>
    <w:rsid w:val="025832D3"/>
    <w:rsid w:val="02F94AB6"/>
    <w:rsid w:val="033B06C3"/>
    <w:rsid w:val="03477E6F"/>
    <w:rsid w:val="03BE40A9"/>
    <w:rsid w:val="040F1E36"/>
    <w:rsid w:val="041651F4"/>
    <w:rsid w:val="04602913"/>
    <w:rsid w:val="04C11604"/>
    <w:rsid w:val="04CD61FB"/>
    <w:rsid w:val="05015EA4"/>
    <w:rsid w:val="05453FE3"/>
    <w:rsid w:val="054E09BE"/>
    <w:rsid w:val="0560706F"/>
    <w:rsid w:val="05634CE7"/>
    <w:rsid w:val="05852631"/>
    <w:rsid w:val="05CA273A"/>
    <w:rsid w:val="069074E0"/>
    <w:rsid w:val="06A077CA"/>
    <w:rsid w:val="06DA69AD"/>
    <w:rsid w:val="06E23AB3"/>
    <w:rsid w:val="06F15AA5"/>
    <w:rsid w:val="06F832D7"/>
    <w:rsid w:val="071C229E"/>
    <w:rsid w:val="071F0864"/>
    <w:rsid w:val="07550729"/>
    <w:rsid w:val="07871F8F"/>
    <w:rsid w:val="07A20C76"/>
    <w:rsid w:val="07DB29DD"/>
    <w:rsid w:val="0808579C"/>
    <w:rsid w:val="083F5094"/>
    <w:rsid w:val="084367D4"/>
    <w:rsid w:val="084560A8"/>
    <w:rsid w:val="08D51B22"/>
    <w:rsid w:val="093A35C4"/>
    <w:rsid w:val="09BC683E"/>
    <w:rsid w:val="0A374116"/>
    <w:rsid w:val="0A375EC4"/>
    <w:rsid w:val="0A5B7E05"/>
    <w:rsid w:val="0A8E121A"/>
    <w:rsid w:val="0AFF4C18"/>
    <w:rsid w:val="0BBA6DAD"/>
    <w:rsid w:val="0BBE689D"/>
    <w:rsid w:val="0BCD6AE0"/>
    <w:rsid w:val="0CB12702"/>
    <w:rsid w:val="0D7C256C"/>
    <w:rsid w:val="0E1F59C4"/>
    <w:rsid w:val="0E6B25E0"/>
    <w:rsid w:val="0E8C4A31"/>
    <w:rsid w:val="0EAF1E9F"/>
    <w:rsid w:val="0F4D7605"/>
    <w:rsid w:val="0F5B4403"/>
    <w:rsid w:val="0F8825C6"/>
    <w:rsid w:val="0F8E6586"/>
    <w:rsid w:val="103A226A"/>
    <w:rsid w:val="10831E63"/>
    <w:rsid w:val="10B169D0"/>
    <w:rsid w:val="10E50428"/>
    <w:rsid w:val="11382C4E"/>
    <w:rsid w:val="1145536B"/>
    <w:rsid w:val="11611C5A"/>
    <w:rsid w:val="11660CBD"/>
    <w:rsid w:val="11823EC9"/>
    <w:rsid w:val="11EC3A38"/>
    <w:rsid w:val="123C676E"/>
    <w:rsid w:val="124E024F"/>
    <w:rsid w:val="128B4FFF"/>
    <w:rsid w:val="13024628"/>
    <w:rsid w:val="13D824C6"/>
    <w:rsid w:val="13DC7D34"/>
    <w:rsid w:val="1441006B"/>
    <w:rsid w:val="146B158C"/>
    <w:rsid w:val="14FC0436"/>
    <w:rsid w:val="15724781"/>
    <w:rsid w:val="15C2342E"/>
    <w:rsid w:val="163A1D24"/>
    <w:rsid w:val="163A7468"/>
    <w:rsid w:val="16A448E1"/>
    <w:rsid w:val="16C531D6"/>
    <w:rsid w:val="172779EC"/>
    <w:rsid w:val="17B172B6"/>
    <w:rsid w:val="17BF5E77"/>
    <w:rsid w:val="17C62CFF"/>
    <w:rsid w:val="18117D55"/>
    <w:rsid w:val="18441ED8"/>
    <w:rsid w:val="189D7A20"/>
    <w:rsid w:val="18A92683"/>
    <w:rsid w:val="194A79C2"/>
    <w:rsid w:val="196A0064"/>
    <w:rsid w:val="197E766C"/>
    <w:rsid w:val="1A670100"/>
    <w:rsid w:val="1B4641B9"/>
    <w:rsid w:val="1B5A1A13"/>
    <w:rsid w:val="1B686CE5"/>
    <w:rsid w:val="1C141762"/>
    <w:rsid w:val="1C185B56"/>
    <w:rsid w:val="1C2D7127"/>
    <w:rsid w:val="1C856F63"/>
    <w:rsid w:val="1C990E53"/>
    <w:rsid w:val="1C9F1DD3"/>
    <w:rsid w:val="1CB05D8E"/>
    <w:rsid w:val="1CD32CF2"/>
    <w:rsid w:val="1CDC4DD5"/>
    <w:rsid w:val="1D1A76AB"/>
    <w:rsid w:val="1D7274E7"/>
    <w:rsid w:val="1DB16262"/>
    <w:rsid w:val="1DD51824"/>
    <w:rsid w:val="1DDD29F5"/>
    <w:rsid w:val="1DF63C75"/>
    <w:rsid w:val="1E256C04"/>
    <w:rsid w:val="1E7B061E"/>
    <w:rsid w:val="1EB2672C"/>
    <w:rsid w:val="1EDE6ADB"/>
    <w:rsid w:val="1F0B19A2"/>
    <w:rsid w:val="1FDE2C12"/>
    <w:rsid w:val="204C04C4"/>
    <w:rsid w:val="207D242B"/>
    <w:rsid w:val="2114528A"/>
    <w:rsid w:val="212B632B"/>
    <w:rsid w:val="21C66054"/>
    <w:rsid w:val="222114DC"/>
    <w:rsid w:val="2228286B"/>
    <w:rsid w:val="224D7F64"/>
    <w:rsid w:val="22F917D2"/>
    <w:rsid w:val="23112215"/>
    <w:rsid w:val="23160915"/>
    <w:rsid w:val="236E0751"/>
    <w:rsid w:val="237F64BA"/>
    <w:rsid w:val="24303C58"/>
    <w:rsid w:val="2452597D"/>
    <w:rsid w:val="24A26904"/>
    <w:rsid w:val="24B473C2"/>
    <w:rsid w:val="24D665AE"/>
    <w:rsid w:val="250A44A9"/>
    <w:rsid w:val="25262F8B"/>
    <w:rsid w:val="25A246E2"/>
    <w:rsid w:val="25B54415"/>
    <w:rsid w:val="270608B2"/>
    <w:rsid w:val="2758651D"/>
    <w:rsid w:val="2767283C"/>
    <w:rsid w:val="27941805"/>
    <w:rsid w:val="27B16E5E"/>
    <w:rsid w:val="27C546B8"/>
    <w:rsid w:val="27F76F67"/>
    <w:rsid w:val="284B3726"/>
    <w:rsid w:val="287C121A"/>
    <w:rsid w:val="28976E5F"/>
    <w:rsid w:val="292E6766"/>
    <w:rsid w:val="2953641F"/>
    <w:rsid w:val="29E37561"/>
    <w:rsid w:val="29E452C9"/>
    <w:rsid w:val="2A110088"/>
    <w:rsid w:val="2A756869"/>
    <w:rsid w:val="2A783C63"/>
    <w:rsid w:val="2B732DA8"/>
    <w:rsid w:val="2B9B40AD"/>
    <w:rsid w:val="2BB313F7"/>
    <w:rsid w:val="2C041C52"/>
    <w:rsid w:val="2C2C2F57"/>
    <w:rsid w:val="2C484617"/>
    <w:rsid w:val="2CD31625"/>
    <w:rsid w:val="2D0D4B37"/>
    <w:rsid w:val="2D450775"/>
    <w:rsid w:val="2E7021F2"/>
    <w:rsid w:val="2ED523E6"/>
    <w:rsid w:val="2EE8585B"/>
    <w:rsid w:val="2F1E127D"/>
    <w:rsid w:val="2F2740B6"/>
    <w:rsid w:val="2F416D1A"/>
    <w:rsid w:val="2F6628DC"/>
    <w:rsid w:val="300E30A0"/>
    <w:rsid w:val="303D1BD7"/>
    <w:rsid w:val="30556455"/>
    <w:rsid w:val="306A6856"/>
    <w:rsid w:val="32290665"/>
    <w:rsid w:val="323668DE"/>
    <w:rsid w:val="327619D7"/>
    <w:rsid w:val="32957AA8"/>
    <w:rsid w:val="3390201E"/>
    <w:rsid w:val="349E076A"/>
    <w:rsid w:val="34D039B6"/>
    <w:rsid w:val="35466E38"/>
    <w:rsid w:val="35727C2D"/>
    <w:rsid w:val="35A23D0E"/>
    <w:rsid w:val="37732382"/>
    <w:rsid w:val="379522F8"/>
    <w:rsid w:val="37ED0493"/>
    <w:rsid w:val="3881462B"/>
    <w:rsid w:val="38C735B6"/>
    <w:rsid w:val="39202096"/>
    <w:rsid w:val="395B7C14"/>
    <w:rsid w:val="39934616"/>
    <w:rsid w:val="3A4122C4"/>
    <w:rsid w:val="3A916DA7"/>
    <w:rsid w:val="3A9932B0"/>
    <w:rsid w:val="3BF33A92"/>
    <w:rsid w:val="3D6D1CD5"/>
    <w:rsid w:val="3E0B6E71"/>
    <w:rsid w:val="3E2E0DB1"/>
    <w:rsid w:val="3E5A1BA6"/>
    <w:rsid w:val="3E646581"/>
    <w:rsid w:val="3F27452A"/>
    <w:rsid w:val="3FAE3F57"/>
    <w:rsid w:val="407E7DCE"/>
    <w:rsid w:val="42786A9F"/>
    <w:rsid w:val="428216CB"/>
    <w:rsid w:val="42DB310F"/>
    <w:rsid w:val="42ED4D97"/>
    <w:rsid w:val="43251536"/>
    <w:rsid w:val="43D146B8"/>
    <w:rsid w:val="43D67F5B"/>
    <w:rsid w:val="44290050"/>
    <w:rsid w:val="443B5FD6"/>
    <w:rsid w:val="44635094"/>
    <w:rsid w:val="44CE5A6E"/>
    <w:rsid w:val="45401AF6"/>
    <w:rsid w:val="45BD235B"/>
    <w:rsid w:val="45BF39BE"/>
    <w:rsid w:val="460A5621"/>
    <w:rsid w:val="465869CB"/>
    <w:rsid w:val="46712183"/>
    <w:rsid w:val="46767799"/>
    <w:rsid w:val="468A6DA0"/>
    <w:rsid w:val="46902609"/>
    <w:rsid w:val="478163F5"/>
    <w:rsid w:val="47CF7161"/>
    <w:rsid w:val="489A1243"/>
    <w:rsid w:val="48C24FF6"/>
    <w:rsid w:val="48EA3B26"/>
    <w:rsid w:val="490B63E4"/>
    <w:rsid w:val="492434DC"/>
    <w:rsid w:val="494F4C8A"/>
    <w:rsid w:val="495F62C2"/>
    <w:rsid w:val="49923F83"/>
    <w:rsid w:val="4A6313CC"/>
    <w:rsid w:val="4AD54A8E"/>
    <w:rsid w:val="4B58121B"/>
    <w:rsid w:val="4C3C28EB"/>
    <w:rsid w:val="4C4A7B3B"/>
    <w:rsid w:val="4CAE37E9"/>
    <w:rsid w:val="4D4203D5"/>
    <w:rsid w:val="4D7465DE"/>
    <w:rsid w:val="4DA122E9"/>
    <w:rsid w:val="4DB6131A"/>
    <w:rsid w:val="4E121B55"/>
    <w:rsid w:val="4E2A50F1"/>
    <w:rsid w:val="4E4F68D0"/>
    <w:rsid w:val="4EBB3F9B"/>
    <w:rsid w:val="4F2064F4"/>
    <w:rsid w:val="4FF37764"/>
    <w:rsid w:val="50772144"/>
    <w:rsid w:val="50B769E4"/>
    <w:rsid w:val="50C57353"/>
    <w:rsid w:val="50E33C26"/>
    <w:rsid w:val="510D2AA8"/>
    <w:rsid w:val="517F5754"/>
    <w:rsid w:val="51BC0756"/>
    <w:rsid w:val="51DF4444"/>
    <w:rsid w:val="51E1640E"/>
    <w:rsid w:val="521F3D94"/>
    <w:rsid w:val="52632AA7"/>
    <w:rsid w:val="529E60AD"/>
    <w:rsid w:val="5367649F"/>
    <w:rsid w:val="53B316E5"/>
    <w:rsid w:val="5429409D"/>
    <w:rsid w:val="54972DB4"/>
    <w:rsid w:val="55436A98"/>
    <w:rsid w:val="5552317F"/>
    <w:rsid w:val="556D1D67"/>
    <w:rsid w:val="5583158B"/>
    <w:rsid w:val="558E2409"/>
    <w:rsid w:val="562763BA"/>
    <w:rsid w:val="56867584"/>
    <w:rsid w:val="57154464"/>
    <w:rsid w:val="57EC1669"/>
    <w:rsid w:val="57F86260"/>
    <w:rsid w:val="580E15DF"/>
    <w:rsid w:val="582C415B"/>
    <w:rsid w:val="58346B6C"/>
    <w:rsid w:val="58A61818"/>
    <w:rsid w:val="58DC16DE"/>
    <w:rsid w:val="59D16D68"/>
    <w:rsid w:val="5A0C1B4F"/>
    <w:rsid w:val="5A0F3962"/>
    <w:rsid w:val="5A2055FA"/>
    <w:rsid w:val="5A33357F"/>
    <w:rsid w:val="5A366BCB"/>
    <w:rsid w:val="5A5A4FB0"/>
    <w:rsid w:val="5AF96577"/>
    <w:rsid w:val="5B2D1660"/>
    <w:rsid w:val="5B651BC2"/>
    <w:rsid w:val="5BE2700B"/>
    <w:rsid w:val="5BF07808"/>
    <w:rsid w:val="5C417408"/>
    <w:rsid w:val="5D375134"/>
    <w:rsid w:val="5D775E79"/>
    <w:rsid w:val="5E916AC6"/>
    <w:rsid w:val="5E943D0B"/>
    <w:rsid w:val="5F312F3C"/>
    <w:rsid w:val="5F4A19DE"/>
    <w:rsid w:val="5F73441E"/>
    <w:rsid w:val="5F795ED8"/>
    <w:rsid w:val="5F97177C"/>
    <w:rsid w:val="5FED4DAE"/>
    <w:rsid w:val="607242A1"/>
    <w:rsid w:val="60886391"/>
    <w:rsid w:val="61005011"/>
    <w:rsid w:val="617D3332"/>
    <w:rsid w:val="62060167"/>
    <w:rsid w:val="62083543"/>
    <w:rsid w:val="627831CA"/>
    <w:rsid w:val="63620A31"/>
    <w:rsid w:val="637A221F"/>
    <w:rsid w:val="63D5361B"/>
    <w:rsid w:val="63D77671"/>
    <w:rsid w:val="63F35EC1"/>
    <w:rsid w:val="641E0DFC"/>
    <w:rsid w:val="643D6E01"/>
    <w:rsid w:val="6518584B"/>
    <w:rsid w:val="653A7EB8"/>
    <w:rsid w:val="65741139"/>
    <w:rsid w:val="65901116"/>
    <w:rsid w:val="66134265"/>
    <w:rsid w:val="672C7CD4"/>
    <w:rsid w:val="672F3320"/>
    <w:rsid w:val="67705E13"/>
    <w:rsid w:val="683C3F47"/>
    <w:rsid w:val="68BE670A"/>
    <w:rsid w:val="68DE0B5A"/>
    <w:rsid w:val="69004F74"/>
    <w:rsid w:val="6919323E"/>
    <w:rsid w:val="692F585A"/>
    <w:rsid w:val="694766FF"/>
    <w:rsid w:val="69BE3C72"/>
    <w:rsid w:val="69E5416A"/>
    <w:rsid w:val="69FD3262"/>
    <w:rsid w:val="6A696B49"/>
    <w:rsid w:val="6A8A71EB"/>
    <w:rsid w:val="6AC36259"/>
    <w:rsid w:val="6AE10DD5"/>
    <w:rsid w:val="6B250CC2"/>
    <w:rsid w:val="6B3D425E"/>
    <w:rsid w:val="6C1B76AB"/>
    <w:rsid w:val="6C2471CC"/>
    <w:rsid w:val="6C353187"/>
    <w:rsid w:val="6C4E5FF7"/>
    <w:rsid w:val="6CD72490"/>
    <w:rsid w:val="6D6B47C4"/>
    <w:rsid w:val="6D8F4B19"/>
    <w:rsid w:val="6DA7118F"/>
    <w:rsid w:val="6DD54C21"/>
    <w:rsid w:val="6DE74955"/>
    <w:rsid w:val="6E0077C5"/>
    <w:rsid w:val="6E2C0351"/>
    <w:rsid w:val="6E62222D"/>
    <w:rsid w:val="6EC32CCC"/>
    <w:rsid w:val="6ED8604B"/>
    <w:rsid w:val="6EE3336E"/>
    <w:rsid w:val="6EEA2A6C"/>
    <w:rsid w:val="6F235519"/>
    <w:rsid w:val="6F35524C"/>
    <w:rsid w:val="6F5E29F5"/>
    <w:rsid w:val="6F6F4C26"/>
    <w:rsid w:val="6F7B5355"/>
    <w:rsid w:val="6F9E7295"/>
    <w:rsid w:val="6FBC1A51"/>
    <w:rsid w:val="701B0DA6"/>
    <w:rsid w:val="70765C71"/>
    <w:rsid w:val="708D1203"/>
    <w:rsid w:val="70DA42FD"/>
    <w:rsid w:val="70EB650A"/>
    <w:rsid w:val="71327C95"/>
    <w:rsid w:val="718524BB"/>
    <w:rsid w:val="72203F91"/>
    <w:rsid w:val="72691DDC"/>
    <w:rsid w:val="72D03C09"/>
    <w:rsid w:val="73131D48"/>
    <w:rsid w:val="73345415"/>
    <w:rsid w:val="734D097C"/>
    <w:rsid w:val="736B75C6"/>
    <w:rsid w:val="738F5872"/>
    <w:rsid w:val="739C7F8F"/>
    <w:rsid w:val="74640AAD"/>
    <w:rsid w:val="748B2474"/>
    <w:rsid w:val="74E4574A"/>
    <w:rsid w:val="75022074"/>
    <w:rsid w:val="751B4C2F"/>
    <w:rsid w:val="75AB44BA"/>
    <w:rsid w:val="760D0CD1"/>
    <w:rsid w:val="76216673"/>
    <w:rsid w:val="764D28FB"/>
    <w:rsid w:val="76A42E74"/>
    <w:rsid w:val="771858D9"/>
    <w:rsid w:val="77DF669D"/>
    <w:rsid w:val="797D7F1B"/>
    <w:rsid w:val="79CD0EA3"/>
    <w:rsid w:val="79ED32F3"/>
    <w:rsid w:val="7AAE60A6"/>
    <w:rsid w:val="7AB21E46"/>
    <w:rsid w:val="7AFC2853"/>
    <w:rsid w:val="7B564EC8"/>
    <w:rsid w:val="7BA20B12"/>
    <w:rsid w:val="7BE349AD"/>
    <w:rsid w:val="7C0B180E"/>
    <w:rsid w:val="7C6723F9"/>
    <w:rsid w:val="7C706FA8"/>
    <w:rsid w:val="7C913F6E"/>
    <w:rsid w:val="7CA13F21"/>
    <w:rsid w:val="7CC540B3"/>
    <w:rsid w:val="7D5316BF"/>
    <w:rsid w:val="7D99109C"/>
    <w:rsid w:val="7DFF3D0F"/>
    <w:rsid w:val="7E8835EA"/>
    <w:rsid w:val="7F016EF9"/>
    <w:rsid w:val="7F296FC8"/>
    <w:rsid w:val="7F743B6E"/>
    <w:rsid w:val="7FA04963"/>
    <w:rsid w:val="7FD03C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9"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iPriority="99"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qFormat="1"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link w:val="26"/>
    <w:qFormat/>
    <w:uiPriority w:val="0"/>
    <w:pPr>
      <w:keepNext/>
      <w:keepLines/>
      <w:spacing w:before="340" w:after="330" w:line="578" w:lineRule="auto"/>
      <w:outlineLvl w:val="0"/>
    </w:pPr>
    <w:rPr>
      <w:b/>
      <w:bCs/>
      <w:kern w:val="44"/>
      <w:sz w:val="44"/>
      <w:szCs w:val="44"/>
    </w:rPr>
  </w:style>
  <w:style w:type="paragraph" w:styleId="4">
    <w:name w:val="heading 2"/>
    <w:basedOn w:val="1"/>
    <w:next w:val="1"/>
    <w:unhideWhenUsed/>
    <w:qFormat/>
    <w:uiPriority w:val="9"/>
    <w:pPr>
      <w:keepNext/>
      <w:keepLines/>
      <w:spacing w:before="160" w:after="80"/>
      <w:outlineLvl w:val="1"/>
    </w:pPr>
    <w:rPr>
      <w:rFonts w:asciiTheme="majorHAnsi" w:hAnsiTheme="majorHAnsi" w:eastAsiaTheme="majorEastAsia" w:cstheme="majorBidi"/>
      <w:color w:val="2E75B6" w:themeColor="accent1" w:themeShade="BF"/>
      <w:sz w:val="40"/>
      <w:szCs w:val="40"/>
      <w14:ligatures w14:val="standardContextual"/>
    </w:rPr>
  </w:style>
  <w:style w:type="paragraph" w:styleId="5">
    <w:name w:val="heading 3"/>
    <w:basedOn w:val="1"/>
    <w:next w:val="1"/>
    <w:semiHidden/>
    <w:unhideWhenUsed/>
    <w:qFormat/>
    <w:uiPriority w:val="9"/>
    <w:pPr>
      <w:keepNext/>
      <w:keepLines/>
      <w:spacing w:before="160" w:after="80"/>
      <w:outlineLvl w:val="2"/>
    </w:pPr>
    <w:rPr>
      <w:rFonts w:asciiTheme="majorHAnsi" w:hAnsiTheme="majorHAnsi" w:eastAsiaTheme="majorEastAsia" w:cstheme="majorBidi"/>
      <w:color w:val="2E75B6" w:themeColor="accent1" w:themeShade="BF"/>
      <w:sz w:val="32"/>
      <w:szCs w:val="32"/>
      <w14:ligatures w14:val="standardContextual"/>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link w:val="28"/>
    <w:qFormat/>
    <w:uiPriority w:val="99"/>
    <w:pPr>
      <w:spacing w:after="120"/>
    </w:pPr>
  </w:style>
  <w:style w:type="paragraph" w:styleId="6">
    <w:name w:val="Normal Indent"/>
    <w:basedOn w:val="1"/>
    <w:qFormat/>
    <w:uiPriority w:val="0"/>
    <w:pPr>
      <w:ind w:firstLine="420" w:firstLineChars="200"/>
    </w:pPr>
    <w:rPr>
      <w:rFonts w:ascii="Times New Roman"/>
    </w:rPr>
  </w:style>
  <w:style w:type="paragraph" w:styleId="7">
    <w:name w:val="annotation text"/>
    <w:basedOn w:val="1"/>
    <w:link w:val="27"/>
    <w:unhideWhenUsed/>
    <w:qFormat/>
    <w:uiPriority w:val="0"/>
    <w:pPr>
      <w:jc w:val="left"/>
    </w:pPr>
  </w:style>
  <w:style w:type="paragraph" w:styleId="8">
    <w:name w:val="List Bullet 5"/>
    <w:basedOn w:val="1"/>
    <w:qFormat/>
    <w:uiPriority w:val="0"/>
    <w:pPr>
      <w:numPr>
        <w:ilvl w:val="0"/>
        <w:numId w:val="1"/>
      </w:numPr>
    </w:pPr>
  </w:style>
  <w:style w:type="paragraph" w:styleId="9">
    <w:name w:val="Body Text Indent 2"/>
    <w:basedOn w:val="1"/>
    <w:qFormat/>
    <w:uiPriority w:val="0"/>
    <w:pPr>
      <w:spacing w:after="120" w:line="480" w:lineRule="auto"/>
      <w:ind w:left="420" w:leftChars="200"/>
    </w:pPr>
  </w:style>
  <w:style w:type="paragraph" w:styleId="10">
    <w:name w:val="footer"/>
    <w:basedOn w:val="1"/>
    <w:link w:val="29"/>
    <w:qFormat/>
    <w:uiPriority w:val="99"/>
    <w:pPr>
      <w:tabs>
        <w:tab w:val="center" w:pos="4153"/>
        <w:tab w:val="right" w:pos="8306"/>
      </w:tabs>
      <w:snapToGrid w:val="0"/>
      <w:jc w:val="left"/>
    </w:pPr>
    <w:rPr>
      <w:sz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2">
    <w:name w:val="Normal (Web)"/>
    <w:basedOn w:val="1"/>
    <w:qFormat/>
    <w:uiPriority w:val="0"/>
    <w:pPr>
      <w:spacing w:beforeAutospacing="1" w:afterAutospacing="1"/>
      <w:jc w:val="left"/>
    </w:pPr>
    <w:rPr>
      <w:rFonts w:cs="Times New Roman"/>
      <w:kern w:val="0"/>
      <w:sz w:val="24"/>
    </w:rPr>
  </w:style>
  <w:style w:type="paragraph" w:styleId="13">
    <w:name w:val="Body Text First Indent"/>
    <w:basedOn w:val="2"/>
    <w:semiHidden/>
    <w:unhideWhenUsed/>
    <w:qFormat/>
    <w:uiPriority w:val="99"/>
    <w:pPr>
      <w:ind w:firstLine="420" w:firstLineChars="100"/>
    </w:pPr>
  </w:style>
  <w:style w:type="table" w:styleId="15">
    <w:name w:val="Table Grid"/>
    <w:basedOn w:val="14"/>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Strong"/>
    <w:basedOn w:val="16"/>
    <w:qFormat/>
    <w:uiPriority w:val="22"/>
    <w:rPr>
      <w:b/>
    </w:rPr>
  </w:style>
  <w:style w:type="character" w:styleId="18">
    <w:name w:val="annotation reference"/>
    <w:basedOn w:val="16"/>
    <w:unhideWhenUsed/>
    <w:qFormat/>
    <w:uiPriority w:val="99"/>
    <w:rPr>
      <w:sz w:val="21"/>
      <w:szCs w:val="21"/>
    </w:rPr>
  </w:style>
  <w:style w:type="paragraph" w:styleId="19">
    <w:name w:val="List Paragraph"/>
    <w:basedOn w:val="1"/>
    <w:qFormat/>
    <w:uiPriority w:val="34"/>
    <w:pPr>
      <w:ind w:firstLine="420" w:firstLineChars="200"/>
    </w:pPr>
  </w:style>
  <w:style w:type="paragraph" w:customStyle="1" w:styleId="20">
    <w:name w:val="U_正文2"/>
    <w:basedOn w:val="1"/>
    <w:qFormat/>
    <w:uiPriority w:val="0"/>
    <w:pPr>
      <w:spacing w:beforeLines="10" w:line="300" w:lineRule="auto"/>
    </w:pPr>
    <w:rPr>
      <w:sz w:val="24"/>
      <w:szCs w:val="22"/>
    </w:rPr>
  </w:style>
  <w:style w:type="paragraph" w:customStyle="1" w:styleId="21">
    <w:name w:val="U_编号2"/>
    <w:basedOn w:val="1"/>
    <w:qFormat/>
    <w:uiPriority w:val="0"/>
    <w:pPr>
      <w:numPr>
        <w:ilvl w:val="0"/>
        <w:numId w:val="2"/>
      </w:numPr>
      <w:spacing w:beforeLines="10" w:line="300" w:lineRule="auto"/>
      <w:ind w:left="1124"/>
    </w:pPr>
    <w:rPr>
      <w:sz w:val="24"/>
      <w:szCs w:val="20"/>
    </w:rPr>
  </w:style>
  <w:style w:type="paragraph" w:customStyle="1" w:styleId="22">
    <w:name w:val="_正文段落"/>
    <w:basedOn w:val="1"/>
    <w:qFormat/>
    <w:uiPriority w:val="0"/>
    <w:pPr>
      <w:spacing w:beforeLines="15" w:afterLines="15" w:line="360" w:lineRule="auto"/>
      <w:ind w:firstLine="200" w:firstLineChars="200"/>
    </w:pPr>
    <w:rPr>
      <w:rFonts w:ascii="宋体" w:eastAsia="仿宋_GB2312"/>
      <w:kern w:val="0"/>
      <w:sz w:val="28"/>
    </w:rPr>
  </w:style>
  <w:style w:type="paragraph" w:customStyle="1" w:styleId="23">
    <w:name w:val="GW-正文"/>
    <w:basedOn w:val="1"/>
    <w:qFormat/>
    <w:uiPriority w:val="0"/>
    <w:pPr>
      <w:spacing w:line="360" w:lineRule="auto"/>
      <w:ind w:firstLine="200" w:firstLineChars="200"/>
    </w:pPr>
    <w:rPr>
      <w:rFonts w:eastAsia="仿宋_GB2312"/>
      <w:sz w:val="24"/>
    </w:rPr>
  </w:style>
  <w:style w:type="paragraph" w:customStyle="1" w:styleId="24">
    <w:name w:val="正文 A"/>
    <w:qFormat/>
    <w:uiPriority w:val="0"/>
    <w:pPr>
      <w:framePr w:wrap="around" w:vAnchor="margin" w:hAnchor="text" w:yAlign="top"/>
      <w:spacing w:after="160" w:line="278" w:lineRule="auto"/>
    </w:pPr>
    <w:rPr>
      <w:rFonts w:ascii="Arial Unicode MS" w:hAnsi="Arial Unicode MS" w:eastAsia="Arial Unicode MS" w:cs="Arial Unicode MS"/>
      <w:color w:val="000000"/>
      <w:sz w:val="22"/>
      <w:szCs w:val="22"/>
      <w:u w:color="000000"/>
      <w:lang w:val="zh-TW" w:eastAsia="zh-TW" w:bidi="ar-SA"/>
    </w:rPr>
  </w:style>
  <w:style w:type="paragraph" w:customStyle="1" w:styleId="25">
    <w:name w:val="列表段落1"/>
    <w:basedOn w:val="1"/>
    <w:qFormat/>
    <w:uiPriority w:val="34"/>
    <w:pPr>
      <w:widowControl/>
      <w:ind w:firstLine="420" w:firstLineChars="200"/>
      <w:jc w:val="left"/>
    </w:pPr>
    <w:rPr>
      <w:rFonts w:ascii="宋体" w:hAnsi="宋体" w:cs="宋体"/>
      <w:kern w:val="0"/>
      <w:sz w:val="24"/>
    </w:rPr>
  </w:style>
  <w:style w:type="character" w:customStyle="1" w:styleId="26">
    <w:name w:val="标题 1 字符"/>
    <w:basedOn w:val="16"/>
    <w:link w:val="3"/>
    <w:qFormat/>
    <w:uiPriority w:val="0"/>
    <w:rPr>
      <w:b/>
      <w:bCs/>
      <w:kern w:val="44"/>
      <w:sz w:val="44"/>
      <w:szCs w:val="44"/>
    </w:rPr>
  </w:style>
  <w:style w:type="character" w:customStyle="1" w:styleId="27">
    <w:name w:val="批注文字 字符"/>
    <w:basedOn w:val="16"/>
    <w:link w:val="7"/>
    <w:qFormat/>
    <w:uiPriority w:val="0"/>
    <w:rPr>
      <w:kern w:val="2"/>
      <w:sz w:val="21"/>
      <w:szCs w:val="24"/>
    </w:rPr>
  </w:style>
  <w:style w:type="character" w:customStyle="1" w:styleId="28">
    <w:name w:val="正文文本 字符"/>
    <w:basedOn w:val="16"/>
    <w:link w:val="2"/>
    <w:qFormat/>
    <w:uiPriority w:val="99"/>
    <w:rPr>
      <w:kern w:val="2"/>
      <w:sz w:val="21"/>
      <w:szCs w:val="24"/>
    </w:rPr>
  </w:style>
  <w:style w:type="character" w:customStyle="1" w:styleId="29">
    <w:name w:val="页脚 字符"/>
    <w:basedOn w:val="16"/>
    <w:link w:val="10"/>
    <w:qFormat/>
    <w:uiPriority w:val="99"/>
    <w:rPr>
      <w:kern w:val="2"/>
      <w:sz w:val="18"/>
      <w:szCs w:val="24"/>
    </w:rPr>
  </w:style>
  <w:style w:type="character" w:customStyle="1" w:styleId="30">
    <w:name w:val="font31"/>
    <w:basedOn w:val="16"/>
    <w:qFormat/>
    <w:uiPriority w:val="0"/>
    <w:rPr>
      <w:rFonts w:hint="eastAsia" w:ascii="宋体" w:hAnsi="宋体" w:eastAsia="宋体" w:cs="宋体"/>
      <w:color w:val="000000"/>
      <w:sz w:val="15"/>
      <w:szCs w:val="15"/>
      <w:u w:val="none"/>
    </w:rPr>
  </w:style>
  <w:style w:type="paragraph" w:customStyle="1" w:styleId="31">
    <w:name w:val="正文3"/>
    <w:qFormat/>
    <w:uiPriority w:val="0"/>
    <w:pPr>
      <w:tabs>
        <w:tab w:val="left" w:pos="990"/>
      </w:tabs>
      <w:spacing w:line="360" w:lineRule="auto"/>
      <w:ind w:firstLine="361" w:firstLineChars="150"/>
    </w:pPr>
    <w:rPr>
      <w:rFonts w:ascii="Calibri" w:hAnsi="Calibri" w:eastAsia="宋体" w:cs="Times New Roman"/>
      <w:b/>
      <w:bCs/>
      <w:snapToGrid w:val="0"/>
      <w:color w:val="000000"/>
      <w:sz w:val="24"/>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F6EFFB9-65EE-40AD-8D09-48EEED7A6774}">
  <ds:schemaRefs/>
</ds:datastoreItem>
</file>

<file path=docProps/app.xml><?xml version="1.0" encoding="utf-8"?>
<Properties xmlns="http://schemas.openxmlformats.org/officeDocument/2006/extended-properties" xmlns:vt="http://schemas.openxmlformats.org/officeDocument/2006/docPropsVTypes">
  <Template>Normal</Template>
  <Pages>51</Pages>
  <Words>13921</Words>
  <Characters>17495</Characters>
  <Lines>1197</Lines>
  <Paragraphs>1093</Paragraphs>
  <TotalTime>1</TotalTime>
  <ScaleCrop>false</ScaleCrop>
  <LinksUpToDate>false</LinksUpToDate>
  <CharactersWithSpaces>18304</CharactersWithSpaces>
  <Application>WPS Office_12.1.0.25222_F1E327BC-269C-435d-A152-05C5408002CA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2025-12-30T09:10:00Z</dcterms:created>
  <dc:creator>嫣然一竹</dc:creator>
  <cp:lastModifiedBy>迪西</cp:lastModifiedBy>
  <dcterms:modified xsi:type="dcterms:W3CDTF">2026-04-14T03:51:50Z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2052-12.1.0.25222</vt:lpwstr>
  </property>
  <property fmtid="{D5CDD505-2E9C-101B-9397-08002B2CF9AE}" pid="3" name="KSOTemplateDocerSaveRecord">
    <vt:lpwstr>eyJoZGlkIjoiNTkzZDU2ZjA4MGQ5YmI1ZjZlYTU1OTI3ZDM1MzczZTIiLCJ1c2VySWQiOiI4OTU0MDUyNzcifQ==</vt:lpwstr>
  </property>
  <property fmtid="{D5CDD505-2E9C-101B-9397-08002B2CF9AE}" pid="4" name="ICV">
    <vt:lpwstr>1438BE64AE4C41C19F1044F3E636226F_13</vt:lpwstr>
  </property>
</Properties>
</file>